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01" w:rsidRDefault="00D04201" w:rsidP="00D04201">
      <w:pPr>
        <w:pStyle w:val="Heading1"/>
        <w:ind w:left="-285" w:right="-142" w:firstLine="285"/>
        <w:rPr>
          <w:rFonts w:cs="David Transparent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רופא </w:t>
      </w:r>
    </w:p>
    <w:p w:rsidR="00D04201" w:rsidRDefault="00D04201" w:rsidP="00D04201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D04201" w:rsidRDefault="00D04201" w:rsidP="00D04201">
      <w:pPr>
        <w:rPr>
          <w:b/>
          <w:bCs/>
          <w:rtl/>
        </w:rPr>
      </w:pPr>
    </w:p>
    <w:p w:rsidR="00D04201" w:rsidRPr="00D04201" w:rsidRDefault="00D04201" w:rsidP="007365C3">
      <w:pPr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</w:t>
      </w: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תאריך </w:t>
      </w:r>
      <w:r w:rsidRPr="00D04201">
        <w:rPr>
          <w:rFonts w:ascii="Arial" w:hAnsi="Arial" w:cs="Arial"/>
          <w:b/>
          <w:bCs/>
          <w:sz w:val="20"/>
          <w:szCs w:val="20"/>
          <w:u w:val="single"/>
          <w:rtl/>
        </w:rPr>
        <w:t>0</w:t>
      </w:r>
      <w:r w:rsidR="007365C3">
        <w:rPr>
          <w:rFonts w:ascii="Arial" w:hAnsi="Arial" w:cs="Arial" w:hint="cs"/>
          <w:b/>
          <w:bCs/>
          <w:sz w:val="20"/>
          <w:szCs w:val="20"/>
          <w:u w:val="single"/>
          <w:rtl/>
        </w:rPr>
        <w:t>6</w:t>
      </w:r>
      <w:r w:rsidRPr="00D04201">
        <w:rPr>
          <w:rFonts w:ascii="Arial" w:hAnsi="Arial" w:cs="Arial"/>
          <w:b/>
          <w:bCs/>
          <w:sz w:val="20"/>
          <w:szCs w:val="20"/>
          <w:u w:val="single"/>
          <w:rtl/>
        </w:rPr>
        <w:t>/2014</w:t>
      </w:r>
    </w:p>
    <w:p w:rsidR="00D04201" w:rsidRPr="00D04201" w:rsidRDefault="00D04201" w:rsidP="00D04201">
      <w:pPr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שם תכשיר באנגלית </w:t>
      </w:r>
      <w:proofErr w:type="spellStart"/>
      <w:r w:rsidRPr="00D04201">
        <w:rPr>
          <w:rFonts w:ascii="Arial" w:hAnsi="Arial" w:cs="Arial"/>
          <w:b/>
          <w:bCs/>
          <w:sz w:val="20"/>
          <w:szCs w:val="20"/>
          <w:u w:val="single"/>
        </w:rPr>
        <w:t>Ventolin</w:t>
      </w:r>
      <w:proofErr w:type="spellEnd"/>
      <w:r w:rsidRPr="00D0420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D04201">
        <w:rPr>
          <w:rFonts w:ascii="Arial" w:hAnsi="Arial" w:cs="Arial"/>
          <w:b/>
          <w:bCs/>
          <w:sz w:val="20"/>
          <w:szCs w:val="20"/>
          <w:u w:val="single"/>
        </w:rPr>
        <w:t>Diskus</w:t>
      </w:r>
      <w:proofErr w:type="spellEnd"/>
    </w:p>
    <w:p w:rsidR="00D04201" w:rsidRPr="00D04201" w:rsidRDefault="00D04201" w:rsidP="00D0420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מספר הרישום </w:t>
      </w:r>
      <w:r w:rsidRPr="00D04201">
        <w:rPr>
          <w:rFonts w:ascii="Arial" w:hAnsi="Arial" w:cs="Arial"/>
          <w:b/>
          <w:bCs/>
          <w:sz w:val="20"/>
          <w:szCs w:val="20"/>
          <w:u w:val="single"/>
        </w:rPr>
        <w:t>126-97-30674</w:t>
      </w:r>
      <w:r w:rsidRPr="00D04201"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</w:t>
      </w:r>
    </w:p>
    <w:p w:rsidR="00D04201" w:rsidRPr="00D04201" w:rsidRDefault="00D04201" w:rsidP="00D04201">
      <w:pPr>
        <w:spacing w:line="360" w:lineRule="auto"/>
        <w:rPr>
          <w:rFonts w:ascii="Arial" w:hAnsi="Arial" w:cs="Arial"/>
          <w:color w:val="FF0000"/>
          <w:sz w:val="20"/>
          <w:szCs w:val="20"/>
          <w:rtl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שם בעל הרישום </w:t>
      </w:r>
      <w:r w:rsidRPr="00D04201">
        <w:rPr>
          <w:rFonts w:ascii="Arial" w:hAnsi="Arial" w:cs="Arial"/>
          <w:b/>
          <w:bCs/>
          <w:sz w:val="20"/>
          <w:szCs w:val="20"/>
          <w:u w:val="single"/>
        </w:rPr>
        <w:t xml:space="preserve">GlaxoSmithKline (ISRAEL) Ltd  </w:t>
      </w:r>
      <w:r w:rsidRPr="00D04201">
        <w:rPr>
          <w:rFonts w:ascii="Arial" w:hAnsi="Arial" w:cs="Arial"/>
          <w:b/>
          <w:bCs/>
          <w:sz w:val="20"/>
          <w:szCs w:val="20"/>
        </w:rPr>
        <w:t xml:space="preserve"> : </w:t>
      </w:r>
    </w:p>
    <w:p w:rsidR="00D04201" w:rsidRPr="00D04201" w:rsidRDefault="00D04201" w:rsidP="00D04201">
      <w:pPr>
        <w:jc w:val="center"/>
        <w:rPr>
          <w:rFonts w:ascii="Arial" w:hAnsi="Arial" w:cs="Arial"/>
          <w:color w:val="FF0000"/>
          <w:sz w:val="20"/>
          <w:szCs w:val="20"/>
          <w:rtl/>
        </w:rPr>
      </w:pPr>
      <w:r w:rsidRPr="00D04201">
        <w:rPr>
          <w:rFonts w:ascii="Arial" w:hAnsi="Arial" w:cs="Arial"/>
          <w:color w:val="FF0000"/>
          <w:sz w:val="20"/>
          <w:szCs w:val="20"/>
          <w:rtl/>
        </w:rPr>
        <w:t>טופס זה מיועד לפרוט ההחמרות בלבד !</w:t>
      </w:r>
    </w:p>
    <w:p w:rsidR="00D04201" w:rsidRDefault="00D04201" w:rsidP="00D04201">
      <w:pPr>
        <w:rPr>
          <w:rFonts w:cs="David Transparent"/>
          <w:szCs w:val="28"/>
          <w:rtl/>
        </w:rPr>
      </w:pPr>
    </w:p>
    <w:tbl>
      <w:tblPr>
        <w:bidiVisual/>
        <w:tblW w:w="1063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4678"/>
      </w:tblGrid>
      <w:tr w:rsidR="00D04201" w:rsidRPr="00A875C0" w:rsidTr="007365C3">
        <w:trPr>
          <w:cantSplit/>
        </w:trPr>
        <w:tc>
          <w:tcPr>
            <w:tcW w:w="1063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D04201" w:rsidRPr="007365C3" w:rsidRDefault="00D04201" w:rsidP="001E1C4A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D04201" w:rsidRPr="007365C3" w:rsidRDefault="00D04201" w:rsidP="001E1C4A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365C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ההחמרות המבוקשות</w:t>
            </w:r>
          </w:p>
        </w:tc>
      </w:tr>
      <w:tr w:rsidR="00D04201" w:rsidRPr="00A875C0" w:rsidTr="007365C3">
        <w:tc>
          <w:tcPr>
            <w:tcW w:w="1276" w:type="dxa"/>
            <w:tcBorders>
              <w:top w:val="nil"/>
            </w:tcBorders>
          </w:tcPr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365C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פרק בעלון</w:t>
            </w:r>
          </w:p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365C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נוכחי</w:t>
            </w: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</w:tcPr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D04201" w:rsidRPr="007365C3" w:rsidRDefault="00D04201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365C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חדש</w:t>
            </w:r>
          </w:p>
        </w:tc>
      </w:tr>
      <w:tr w:rsidR="007365C3" w:rsidRPr="00A875C0" w:rsidTr="007365C3">
        <w:trPr>
          <w:trHeight w:val="1681"/>
        </w:trPr>
        <w:tc>
          <w:tcPr>
            <w:tcW w:w="1276" w:type="dxa"/>
            <w:vMerge w:val="restart"/>
            <w:tcBorders>
              <w:top w:val="nil"/>
            </w:tcBorders>
          </w:tcPr>
          <w:p w:rsidR="007365C3" w:rsidRPr="007365C3" w:rsidRDefault="007365C3" w:rsidP="007365C3">
            <w:pPr>
              <w:bidi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  <w:rtl/>
                <w:lang w:val="en-GB" w:eastAsia="en-GB"/>
              </w:rPr>
            </w:pPr>
            <w:r w:rsidRPr="007365C3">
              <w:rPr>
                <w:rFonts w:asciiTheme="minorBidi" w:hAnsiTheme="minorBidi" w:cstheme="minorBidi"/>
                <w:b/>
                <w:sz w:val="18"/>
                <w:szCs w:val="18"/>
                <w:lang w:val="en-GB" w:eastAsia="en-GB" w:bidi="ar-SA"/>
              </w:rPr>
              <w:t>Contra-indications</w:t>
            </w:r>
          </w:p>
        </w:tc>
        <w:tc>
          <w:tcPr>
            <w:tcW w:w="4678" w:type="dxa"/>
            <w:tcBorders>
              <w:top w:val="nil"/>
            </w:tcBorders>
          </w:tcPr>
          <w:p w:rsidR="007365C3" w:rsidRPr="007365C3" w:rsidRDefault="007365C3" w:rsidP="007365C3">
            <w:pPr>
              <w:bidi w:val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Although intravenous </w:t>
            </w:r>
            <w:proofErr w:type="spellStart"/>
            <w:proofErr w:type="gram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, and occasionally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 tablets, are</w:t>
            </w:r>
            <w:proofErr w:type="gram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 used in the management of premature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labour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 uncomplicated by conditions such as placenta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praevia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, ante-partum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haemorrhage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, or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toxaemia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 of pregnancy, inhaled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 preparations are not appropriate for managing premature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labour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. 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</w:rPr>
              <w:t xml:space="preserve"> preparations should not be used for threatened abortion.</w:t>
            </w: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</w:tcPr>
          <w:p w:rsidR="007365C3" w:rsidRPr="007365C3" w:rsidRDefault="007365C3" w:rsidP="007365C3">
            <w:pPr>
              <w:pStyle w:val="DSCText"/>
              <w:ind w:firstLine="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Non-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i.v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 xml:space="preserve">. formulations of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 xml:space="preserve"> must not be used to arrest uncomplicated premature labour or threatened abortion.</w:t>
            </w:r>
          </w:p>
          <w:p w:rsidR="007365C3" w:rsidRPr="007365C3" w:rsidRDefault="007365C3" w:rsidP="007365C3">
            <w:pPr>
              <w:bidi w:val="0"/>
              <w:spacing w:after="240"/>
              <w:jc w:val="right"/>
              <w:rPr>
                <w:rFonts w:asciiTheme="minorBidi" w:hAnsiTheme="minorBidi" w:cstheme="minorBidi"/>
                <w:sz w:val="18"/>
                <w:szCs w:val="18"/>
                <w:highlight w:val="yellow"/>
                <w:lang w:val="en-GB"/>
              </w:rPr>
            </w:pPr>
          </w:p>
        </w:tc>
      </w:tr>
      <w:tr w:rsidR="007365C3" w:rsidRPr="00A875C0" w:rsidTr="007365C3">
        <w:trPr>
          <w:trHeight w:val="415"/>
        </w:trPr>
        <w:tc>
          <w:tcPr>
            <w:tcW w:w="1276" w:type="dxa"/>
            <w:vMerge/>
          </w:tcPr>
          <w:p w:rsidR="007365C3" w:rsidRPr="007365C3" w:rsidRDefault="007365C3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365C3" w:rsidRPr="007365C3" w:rsidRDefault="007365C3" w:rsidP="007365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</w:tcPr>
          <w:p w:rsidR="007365C3" w:rsidRPr="007365C3" w:rsidRDefault="007365C3" w:rsidP="007365C3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Ventolin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Diskus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 xml:space="preserve"> is contraindicated in patients with severe milk-protein allergy</w:t>
            </w:r>
            <w:r w:rsidRPr="007365C3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</w:rPr>
              <w:t>.</w:t>
            </w:r>
          </w:p>
        </w:tc>
      </w:tr>
      <w:tr w:rsidR="00D04201" w:rsidRPr="00A875C0" w:rsidTr="007365C3">
        <w:tc>
          <w:tcPr>
            <w:tcW w:w="1276" w:type="dxa"/>
          </w:tcPr>
          <w:p w:rsidR="00D04201" w:rsidRPr="007365C3" w:rsidRDefault="00D04201" w:rsidP="007365C3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365C3">
              <w:rPr>
                <w:rFonts w:asciiTheme="minorBidi" w:hAnsiTheme="minorBidi" w:cstheme="minorBidi"/>
                <w:b/>
                <w:sz w:val="18"/>
                <w:szCs w:val="18"/>
              </w:rPr>
              <w:t>Fertility, pregnancy and lactation</w:t>
            </w:r>
          </w:p>
        </w:tc>
        <w:tc>
          <w:tcPr>
            <w:tcW w:w="4678" w:type="dxa"/>
          </w:tcPr>
          <w:p w:rsidR="00D04201" w:rsidRPr="007365C3" w:rsidRDefault="00D04201" w:rsidP="007365C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  <w:rtl/>
                <w:lang w:eastAsia="en-US"/>
              </w:rPr>
              <w:t>...</w:t>
            </w:r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During worldwide marketing experience, rare cases of various congenital anomalies, including cleft</w:t>
            </w:r>
          </w:p>
          <w:p w:rsidR="00D04201" w:rsidRPr="007365C3" w:rsidRDefault="00D04201" w:rsidP="007365C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  <w:proofErr w:type="gramStart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palate</w:t>
            </w:r>
            <w:proofErr w:type="gramEnd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 and limb defects have been reported in the offspring of patients being treated with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.</w:t>
            </w:r>
          </w:p>
          <w:p w:rsidR="00D04201" w:rsidRPr="007365C3" w:rsidRDefault="00D04201" w:rsidP="007365C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Some of the mothers were taking multiple medications during their pregnancies. Because no consistent</w:t>
            </w:r>
            <w:r w:rsid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 </w:t>
            </w:r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pattern of defects can be discerned, and baseline rate for congenital anomalies is 2 to 3%, a relationship</w:t>
            </w:r>
            <w:r w:rsid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 with </w:t>
            </w:r>
            <w:proofErr w:type="spellStart"/>
            <w:r w:rsid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salbutamol</w:t>
            </w:r>
            <w:proofErr w:type="spellEnd"/>
            <w:r w:rsid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 use cannot be </w:t>
            </w:r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established</w:t>
            </w:r>
            <w:r w:rsidR="007365C3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04201" w:rsidRPr="007365C3" w:rsidRDefault="00D04201" w:rsidP="007365C3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  <w:rtl/>
                <w:lang w:eastAsia="en-GB"/>
              </w:rPr>
              <w:t>...</w:t>
            </w:r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 xml:space="preserve">As with the majority of drugs, there is little published evidence of the safety of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 xml:space="preserve"> in the early stages of human pregnancy, but </w:t>
            </w:r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 xml:space="preserve">in animal studies there was evidence of some harmful effects on the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>fetus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 xml:space="preserve"> at very high dose levels.</w:t>
            </w:r>
          </w:p>
          <w:p w:rsidR="00D04201" w:rsidRPr="007365C3" w:rsidRDefault="00D04201" w:rsidP="007365C3">
            <w:pPr>
              <w:autoSpaceDE w:val="0"/>
              <w:autoSpaceDN w:val="0"/>
              <w:bidi w:val="0"/>
              <w:adjustRightInd w:val="0"/>
              <w:spacing w:after="120"/>
              <w:ind w:left="34" w:right="33" w:hanging="34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:rsidR="00943BE5" w:rsidRPr="00A875C0" w:rsidTr="007365C3">
        <w:tc>
          <w:tcPr>
            <w:tcW w:w="1276" w:type="dxa"/>
          </w:tcPr>
          <w:p w:rsidR="00943BE5" w:rsidRPr="007365C3" w:rsidRDefault="00943BE5" w:rsidP="007365C3">
            <w:pPr>
              <w:bidi w:val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7365C3">
              <w:rPr>
                <w:rFonts w:asciiTheme="minorBidi" w:hAnsiTheme="minorBidi" w:cstheme="minorBidi"/>
                <w:b/>
                <w:sz w:val="18"/>
                <w:szCs w:val="18"/>
                <w:lang w:val="en-GB" w:eastAsia="en-GB" w:bidi="ar-SA"/>
              </w:rPr>
              <w:t>Overdose</w:t>
            </w:r>
          </w:p>
        </w:tc>
        <w:tc>
          <w:tcPr>
            <w:tcW w:w="4678" w:type="dxa"/>
          </w:tcPr>
          <w:p w:rsidR="00943BE5" w:rsidRPr="007365C3" w:rsidRDefault="00943BE5" w:rsidP="007365C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The most common signs and symptoms of overdose with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 are transient beta agonist pharmacologically mediated events (see Warnings and Precautions and Adverse Reactions).</w:t>
            </w:r>
          </w:p>
          <w:p w:rsidR="00943BE5" w:rsidRPr="007365C3" w:rsidRDefault="00943BE5" w:rsidP="007365C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Hypokalaemia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 xml:space="preserve"> may occur following overdose with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. Serum potassium levels should be</w:t>
            </w:r>
          </w:p>
          <w:p w:rsidR="00943BE5" w:rsidRPr="007365C3" w:rsidRDefault="00943BE5" w:rsidP="007365C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8"/>
                <w:szCs w:val="18"/>
                <w:rtl/>
                <w:lang w:eastAsia="en-US"/>
              </w:rPr>
            </w:pPr>
            <w:proofErr w:type="gramStart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monitored</w:t>
            </w:r>
            <w:proofErr w:type="gramEnd"/>
            <w:r w:rsidRPr="007365C3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3BE5" w:rsidRPr="007365C3" w:rsidRDefault="00943BE5" w:rsidP="007365C3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</w:pPr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 xml:space="preserve">The most common signs and symptoms of overdose with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 xml:space="preserve"> are transient beta agonist pharmacologically mediated events</w:t>
            </w:r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u w:val="single"/>
                <w:lang w:val="en-GB" w:eastAsia="en-GB" w:bidi="ar-SA"/>
              </w:rPr>
              <w:t>, including tachycardia, tremor, hyperactivity and metabolic effects</w:t>
            </w:r>
            <w:r w:rsidRPr="007365C3">
              <w:rPr>
                <w:rFonts w:asciiTheme="minorBidi" w:hAnsiTheme="minorBidi" w:cstheme="minorBidi"/>
                <w:sz w:val="18"/>
                <w:szCs w:val="18"/>
                <w:u w:val="single"/>
                <w:lang w:val="en-GB" w:eastAsia="en-GB" w:bidi="ar-SA"/>
              </w:rPr>
              <w:t xml:space="preserve"> including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u w:val="single"/>
                <w:lang w:val="en-GB" w:eastAsia="en-GB" w:bidi="ar-SA"/>
              </w:rPr>
              <w:t>hypokalaemia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u w:val="single"/>
                <w:lang w:val="en-GB" w:eastAsia="en-GB" w:bidi="ar-SA"/>
              </w:rPr>
              <w:t xml:space="preserve"> </w:t>
            </w:r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>(see sections 4.4 and 4.8).</w:t>
            </w:r>
          </w:p>
          <w:p w:rsidR="00943BE5" w:rsidRPr="007365C3" w:rsidRDefault="00943BE5" w:rsidP="007365C3">
            <w:pPr>
              <w:bidi w:val="0"/>
              <w:rPr>
                <w:rFonts w:asciiTheme="minorBidi" w:hAnsiTheme="minorBidi" w:cstheme="minorBidi"/>
                <w:sz w:val="18"/>
                <w:szCs w:val="18"/>
                <w:rtl/>
                <w:lang w:val="en-GB" w:eastAsia="en-GB" w:bidi="ar-SA"/>
              </w:rPr>
            </w:pP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>Hypokalaemia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 xml:space="preserve"> may occur following overdose with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>salbutamol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lang w:val="en-GB" w:eastAsia="en-GB" w:bidi="ar-SA"/>
              </w:rPr>
              <w:t xml:space="preserve">.  Serum potassium levels should be monitored. </w:t>
            </w:r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 xml:space="preserve">Lactic acidosis has been reported in association with high therapeutic doses as well as overdoses of short-acting beta-agonist therapy, therefore monitoring for elevated serum lactate and consequent metabolic acidosis (particularly if there is persistence or worsening of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>tachypnea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 xml:space="preserve"> despite resolution of other signs of </w:t>
            </w:r>
            <w:proofErr w:type="spellStart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>bronchospasm</w:t>
            </w:r>
            <w:proofErr w:type="spellEnd"/>
            <w:r w:rsidRPr="007365C3">
              <w:rPr>
                <w:rFonts w:asciiTheme="minorBidi" w:hAnsiTheme="minorBidi" w:cstheme="minorBidi"/>
                <w:sz w:val="18"/>
                <w:szCs w:val="18"/>
                <w:highlight w:val="yellow"/>
                <w:lang w:val="en-GB" w:eastAsia="en-GB" w:bidi="ar-SA"/>
              </w:rPr>
              <w:t xml:space="preserve"> such as wheezing) may be indicated in the setting of overdose.</w:t>
            </w:r>
          </w:p>
        </w:tc>
      </w:tr>
    </w:tbl>
    <w:p w:rsidR="005E4046" w:rsidRPr="00334D50" w:rsidRDefault="005E4046" w:rsidP="005E4046">
      <w:pPr>
        <w:ind w:left="-143" w:right="-142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334D50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מצ"ב העלון, שבו מסומנות ההחמרות המבוקשות  </w:t>
      </w:r>
      <w:r w:rsidRPr="00334D50">
        <w:rPr>
          <w:rFonts w:asciiTheme="minorBidi" w:hAnsiTheme="minorBidi" w:cstheme="minorBidi"/>
          <w:b/>
          <w:bCs/>
          <w:sz w:val="18"/>
          <w:szCs w:val="18"/>
          <w:highlight w:val="yellow"/>
          <w:rtl/>
        </w:rPr>
        <w:t>על רקע צהוב</w:t>
      </w:r>
      <w:r w:rsidRPr="00334D50">
        <w:rPr>
          <w:rFonts w:asciiTheme="minorBidi" w:hAnsiTheme="minorBidi" w:cstheme="minorBidi"/>
          <w:b/>
          <w:bCs/>
          <w:sz w:val="18"/>
          <w:szCs w:val="18"/>
          <w:rtl/>
        </w:rPr>
        <w:t>.</w:t>
      </w:r>
    </w:p>
    <w:p w:rsidR="007365C3" w:rsidRPr="00334D50" w:rsidRDefault="005E4046" w:rsidP="00334D50">
      <w:pPr>
        <w:pBdr>
          <w:bottom w:val="single" w:sz="4" w:space="0" w:color="auto"/>
        </w:pBdr>
        <w:ind w:left="-143" w:right="-142"/>
        <w:rPr>
          <w:rFonts w:asciiTheme="minorBidi" w:hAnsiTheme="minorBidi" w:cstheme="minorBidi"/>
          <w:sz w:val="18"/>
          <w:szCs w:val="18"/>
          <w:rtl/>
        </w:rPr>
      </w:pPr>
      <w:r w:rsidRPr="00334D50">
        <w:rPr>
          <w:rFonts w:asciiTheme="minorBidi" w:hAnsiTheme="minorBidi" w:cstheme="minorBidi"/>
          <w:sz w:val="18"/>
          <w:szCs w:val="18"/>
          <w:rtl/>
        </w:rPr>
        <w:t xml:space="preserve">שינויים שאינם בגדר החמרות סומנו </w:t>
      </w:r>
      <w:r w:rsidRPr="00334D50">
        <w:rPr>
          <w:rFonts w:asciiTheme="minorBidi" w:hAnsiTheme="minorBidi" w:cstheme="minorBidi"/>
          <w:sz w:val="18"/>
          <w:szCs w:val="18"/>
          <w:u w:val="single"/>
          <w:rtl/>
        </w:rPr>
        <w:t>(בעלון)</w:t>
      </w:r>
      <w:r w:rsidRPr="00334D50">
        <w:rPr>
          <w:rFonts w:asciiTheme="minorBidi" w:hAnsiTheme="minorBidi" w:cstheme="minorBidi"/>
          <w:sz w:val="18"/>
          <w:szCs w:val="18"/>
          <w:rtl/>
        </w:rPr>
        <w:t xml:space="preserve"> בצבע </w:t>
      </w:r>
      <w:r w:rsidRPr="00334D50">
        <w:rPr>
          <w:rFonts w:asciiTheme="minorBidi" w:hAnsiTheme="minorBidi" w:cstheme="minorBidi"/>
          <w:color w:val="00B050"/>
          <w:sz w:val="18"/>
          <w:szCs w:val="18"/>
          <w:rtl/>
        </w:rPr>
        <w:t>ירוק</w:t>
      </w:r>
      <w:r w:rsidRPr="00334D50">
        <w:rPr>
          <w:rFonts w:asciiTheme="minorBidi" w:hAnsiTheme="minorBidi" w:cstheme="minorBidi"/>
          <w:sz w:val="18"/>
          <w:szCs w:val="18"/>
          <w:rtl/>
        </w:rPr>
        <w:t xml:space="preserve">. </w:t>
      </w:r>
    </w:p>
    <w:p w:rsidR="007365C3" w:rsidRDefault="007365C3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Default="00F95618" w:rsidP="00AE76D5">
      <w:pPr>
        <w:rPr>
          <w:rFonts w:hint="cs"/>
          <w:rtl/>
          <w:lang w:eastAsia="en-US"/>
        </w:rPr>
      </w:pPr>
    </w:p>
    <w:p w:rsidR="00F95618" w:rsidRPr="00AE76D5" w:rsidRDefault="00F95618" w:rsidP="00AE76D5">
      <w:pPr>
        <w:rPr>
          <w:rtl/>
          <w:lang w:eastAsia="en-US"/>
        </w:rPr>
      </w:pPr>
    </w:p>
    <w:p w:rsidR="00AE76D5" w:rsidRDefault="00AE76D5" w:rsidP="00AE76D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lastRenderedPageBreak/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בעלון לצרכן </w:t>
      </w:r>
    </w:p>
    <w:p w:rsidR="00AE76D5" w:rsidRPr="00334D50" w:rsidRDefault="00AE76D5" w:rsidP="00334D50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E76D5" w:rsidRPr="00D04201" w:rsidRDefault="00AE76D5" w:rsidP="00333617">
      <w:pPr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תאריך </w:t>
      </w:r>
      <w:r w:rsidRPr="00D04201">
        <w:rPr>
          <w:rFonts w:ascii="Arial" w:hAnsi="Arial" w:cs="Arial"/>
          <w:b/>
          <w:bCs/>
          <w:sz w:val="20"/>
          <w:szCs w:val="20"/>
          <w:u w:val="single"/>
          <w:rtl/>
        </w:rPr>
        <w:t>0</w:t>
      </w:r>
      <w:r w:rsidR="00333617">
        <w:rPr>
          <w:rFonts w:ascii="Arial" w:hAnsi="Arial" w:cs="Arial" w:hint="cs"/>
          <w:b/>
          <w:bCs/>
          <w:sz w:val="20"/>
          <w:szCs w:val="20"/>
          <w:u w:val="single"/>
          <w:rtl/>
        </w:rPr>
        <w:t>6</w:t>
      </w:r>
      <w:r w:rsidRPr="00D04201">
        <w:rPr>
          <w:rFonts w:ascii="Arial" w:hAnsi="Arial" w:cs="Arial"/>
          <w:b/>
          <w:bCs/>
          <w:sz w:val="20"/>
          <w:szCs w:val="20"/>
          <w:u w:val="single"/>
          <w:rtl/>
        </w:rPr>
        <w:t>/2014</w:t>
      </w:r>
    </w:p>
    <w:p w:rsidR="00AE76D5" w:rsidRPr="00D04201" w:rsidRDefault="00AE76D5" w:rsidP="00AE76D5">
      <w:pPr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שם תכשיר באנגלית </w:t>
      </w:r>
      <w:proofErr w:type="spellStart"/>
      <w:r w:rsidRPr="00D04201">
        <w:rPr>
          <w:rFonts w:ascii="Arial" w:hAnsi="Arial" w:cs="Arial"/>
          <w:b/>
          <w:bCs/>
          <w:sz w:val="20"/>
          <w:szCs w:val="20"/>
          <w:u w:val="single"/>
        </w:rPr>
        <w:t>Ventolin</w:t>
      </w:r>
      <w:proofErr w:type="spellEnd"/>
      <w:r w:rsidRPr="00D0420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D04201">
        <w:rPr>
          <w:rFonts w:ascii="Arial" w:hAnsi="Arial" w:cs="Arial"/>
          <w:b/>
          <w:bCs/>
          <w:sz w:val="20"/>
          <w:szCs w:val="20"/>
          <w:u w:val="single"/>
        </w:rPr>
        <w:t>Diskus</w:t>
      </w:r>
      <w:proofErr w:type="spellEnd"/>
    </w:p>
    <w:p w:rsidR="00AE76D5" w:rsidRPr="00D04201" w:rsidRDefault="00AE76D5" w:rsidP="00AE76D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מספר הרישום </w:t>
      </w:r>
      <w:r w:rsidRPr="00D04201">
        <w:rPr>
          <w:rFonts w:ascii="Arial" w:hAnsi="Arial" w:cs="Arial"/>
          <w:b/>
          <w:bCs/>
          <w:sz w:val="20"/>
          <w:szCs w:val="20"/>
          <w:u w:val="single"/>
        </w:rPr>
        <w:t>126-97-30674</w:t>
      </w:r>
      <w:r w:rsidRPr="00D04201"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</w:t>
      </w:r>
    </w:p>
    <w:p w:rsidR="00AE76D5" w:rsidRPr="00D04201" w:rsidRDefault="00AE76D5" w:rsidP="00AE76D5">
      <w:pPr>
        <w:spacing w:line="360" w:lineRule="auto"/>
        <w:rPr>
          <w:rFonts w:ascii="Arial" w:hAnsi="Arial" w:cs="Arial"/>
          <w:color w:val="FF0000"/>
          <w:sz w:val="20"/>
          <w:szCs w:val="20"/>
          <w:rtl/>
        </w:rPr>
      </w:pPr>
      <w:r w:rsidRPr="00D04201">
        <w:rPr>
          <w:rFonts w:ascii="Arial" w:hAnsi="Arial" w:cs="Arial"/>
          <w:b/>
          <w:bCs/>
          <w:sz w:val="20"/>
          <w:szCs w:val="20"/>
          <w:rtl/>
        </w:rPr>
        <w:t xml:space="preserve">שם בעל הרישום </w:t>
      </w:r>
      <w:r w:rsidRPr="00D04201">
        <w:rPr>
          <w:rFonts w:ascii="Arial" w:hAnsi="Arial" w:cs="Arial"/>
          <w:b/>
          <w:bCs/>
          <w:sz w:val="20"/>
          <w:szCs w:val="20"/>
          <w:u w:val="single"/>
        </w:rPr>
        <w:t xml:space="preserve">GlaxoSmithKline (ISRAEL) Ltd  </w:t>
      </w:r>
      <w:r w:rsidRPr="00D04201">
        <w:rPr>
          <w:rFonts w:ascii="Arial" w:hAnsi="Arial" w:cs="Arial"/>
          <w:b/>
          <w:bCs/>
          <w:sz w:val="20"/>
          <w:szCs w:val="20"/>
        </w:rPr>
        <w:t xml:space="preserve"> : </w:t>
      </w:r>
    </w:p>
    <w:p w:rsidR="00AE76D5" w:rsidRPr="00D04201" w:rsidRDefault="00AE76D5" w:rsidP="00AE76D5">
      <w:pPr>
        <w:jc w:val="center"/>
        <w:rPr>
          <w:rFonts w:ascii="Arial" w:hAnsi="Arial" w:cs="Arial"/>
          <w:color w:val="FF0000"/>
          <w:sz w:val="20"/>
          <w:szCs w:val="20"/>
          <w:rtl/>
        </w:rPr>
      </w:pPr>
      <w:r w:rsidRPr="00D04201">
        <w:rPr>
          <w:rFonts w:ascii="Arial" w:hAnsi="Arial" w:cs="Arial"/>
          <w:color w:val="FF0000"/>
          <w:sz w:val="20"/>
          <w:szCs w:val="20"/>
          <w:rtl/>
        </w:rPr>
        <w:t>טופס זה מיועד לפרוט ההחמרות בלבד !</w:t>
      </w:r>
    </w:p>
    <w:p w:rsidR="00AE76D5" w:rsidRPr="00D04201" w:rsidRDefault="00AE76D5" w:rsidP="00AE76D5">
      <w:pPr>
        <w:jc w:val="center"/>
        <w:rPr>
          <w:rFonts w:ascii="Arial" w:hAnsi="Arial" w:cs="Arial"/>
          <w:color w:val="FF0000"/>
          <w:sz w:val="20"/>
          <w:szCs w:val="20"/>
          <w:rtl/>
        </w:rPr>
      </w:pPr>
    </w:p>
    <w:tbl>
      <w:tblPr>
        <w:bidiVisual/>
        <w:tblW w:w="1063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7371"/>
      </w:tblGrid>
      <w:tr w:rsidR="00AE76D5" w:rsidRPr="00333617" w:rsidTr="00333617">
        <w:tc>
          <w:tcPr>
            <w:tcW w:w="1063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ההחמרות המבוקשות </w:t>
            </w:r>
          </w:p>
        </w:tc>
      </w:tr>
      <w:tr w:rsidR="00AE76D5" w:rsidRPr="00333617" w:rsidTr="00333617">
        <w:tc>
          <w:tcPr>
            <w:tcW w:w="1276" w:type="dxa"/>
            <w:tcBorders>
              <w:top w:val="nil"/>
            </w:tcBorders>
          </w:tcPr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פרק בעלון</w:t>
            </w:r>
          </w:p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נוכחי</w:t>
            </w:r>
          </w:p>
        </w:tc>
        <w:tc>
          <w:tcPr>
            <w:tcW w:w="7371" w:type="dxa"/>
            <w:tcBorders>
              <w:top w:val="nil"/>
              <w:right w:val="single" w:sz="4" w:space="0" w:color="auto"/>
            </w:tcBorders>
          </w:tcPr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AE76D5" w:rsidRPr="00333617" w:rsidRDefault="00AE76D5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חדש</w:t>
            </w:r>
          </w:p>
        </w:tc>
      </w:tr>
      <w:tr w:rsidR="00893A4D" w:rsidRPr="00333617" w:rsidTr="00333617">
        <w:tc>
          <w:tcPr>
            <w:tcW w:w="1276" w:type="dxa"/>
            <w:tcBorders>
              <w:top w:val="nil"/>
            </w:tcBorders>
          </w:tcPr>
          <w:p w:rsidR="00FD598A" w:rsidRPr="00333617" w:rsidRDefault="00FD598A" w:rsidP="00FD598A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אין להשתמש בתרופה אם:</w:t>
            </w:r>
          </w:p>
          <w:p w:rsidR="00893A4D" w:rsidRPr="00333617" w:rsidRDefault="00893A4D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93A4D" w:rsidRPr="00333617" w:rsidRDefault="00333617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7371" w:type="dxa"/>
            <w:tcBorders>
              <w:top w:val="nil"/>
              <w:right w:val="single" w:sz="4" w:space="0" w:color="auto"/>
            </w:tcBorders>
          </w:tcPr>
          <w:p w:rsidR="00FD598A" w:rsidRPr="00333617" w:rsidRDefault="00FD598A" w:rsidP="00FD598A">
            <w:pPr>
              <w:numPr>
                <w:ilvl w:val="0"/>
                <w:numId w:val="29"/>
              </w:numPr>
              <w:spacing w:after="200" w:line="276" w:lineRule="auto"/>
              <w:ind w:right="-56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יש לך אלרגיה חמורה לחלבון חלב.</w:t>
            </w:r>
          </w:p>
          <w:p w:rsidR="00893A4D" w:rsidRPr="00333617" w:rsidRDefault="00893A4D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:rsidR="00FD598A" w:rsidRPr="00333617" w:rsidTr="00333617">
        <w:trPr>
          <w:trHeight w:val="1296"/>
        </w:trPr>
        <w:tc>
          <w:tcPr>
            <w:tcW w:w="1276" w:type="dxa"/>
            <w:tcBorders>
              <w:top w:val="nil"/>
            </w:tcBorders>
          </w:tcPr>
          <w:p w:rsidR="00FD598A" w:rsidRPr="00333617" w:rsidRDefault="00FD598A" w:rsidP="00333617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שוחח עם הרופא או הרוקח שלך לפני נטילת ונטולין דיסקוס אם:</w:t>
            </w:r>
          </w:p>
        </w:tc>
        <w:tc>
          <w:tcPr>
            <w:tcW w:w="1985" w:type="dxa"/>
            <w:tcBorders>
              <w:top w:val="nil"/>
            </w:tcBorders>
          </w:tcPr>
          <w:p w:rsidR="00FD598A" w:rsidRPr="00333617" w:rsidRDefault="00333617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7371" w:type="dxa"/>
            <w:tcBorders>
              <w:top w:val="nil"/>
              <w:right w:val="single" w:sz="4" w:space="0" w:color="auto"/>
            </w:tcBorders>
          </w:tcPr>
          <w:p w:rsidR="00FD598A" w:rsidRPr="00333617" w:rsidRDefault="00FD598A" w:rsidP="008B1D16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האסטמה שלך פעילה (לדוגמא יש לך תסמינים תכופים או התלקחויות או יכולת גופנית מוגבלת). כדי לשלוט באסטמה שלך הרופא יכול להוסיף תרופה או להעלות מינון של תרופה לדוגמא סטרואידים בשאיפה.</w:t>
            </w:r>
          </w:p>
          <w:p w:rsidR="00FD598A" w:rsidRPr="00333617" w:rsidRDefault="00FD598A" w:rsidP="00FD598A">
            <w:pPr>
              <w:numPr>
                <w:ilvl w:val="0"/>
                <w:numId w:val="29"/>
              </w:numPr>
              <w:spacing w:after="200" w:line="276" w:lineRule="auto"/>
              <w:ind w:right="-56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אתה לוקח נגזרות קסנתין (כמו תאופילין) או סטרואידים לטיפול באסטמה.</w:t>
            </w:r>
          </w:p>
          <w:p w:rsidR="00FD598A" w:rsidRPr="00333617" w:rsidRDefault="00FD598A" w:rsidP="00333617">
            <w:pPr>
              <w:numPr>
                <w:ilvl w:val="0"/>
                <w:numId w:val="29"/>
              </w:numPr>
              <w:spacing w:line="276" w:lineRule="auto"/>
              <w:ind w:right="-56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אתה לוקח משתנים, לעיתים משמשים לטיפול בלחץ דם גבוה או מחלת לב</w:t>
            </w:r>
            <w:r w:rsidR="00333617" w:rsidRPr="00333617">
              <w:rPr>
                <w:rFonts w:asciiTheme="minorBidi" w:eastAsia="Calibri" w:hAnsiTheme="minorBidi" w:cstheme="minorBidi" w:hint="cs"/>
                <w:sz w:val="18"/>
                <w:szCs w:val="18"/>
                <w:highlight w:val="yellow"/>
                <w:rtl/>
                <w:lang w:eastAsia="en-US"/>
              </w:rPr>
              <w:t>.</w:t>
            </w:r>
          </w:p>
        </w:tc>
      </w:tr>
      <w:tr w:rsidR="007C719B" w:rsidRPr="00333617" w:rsidTr="00333617">
        <w:tc>
          <w:tcPr>
            <w:tcW w:w="1276" w:type="dxa"/>
            <w:tcBorders>
              <w:top w:val="nil"/>
            </w:tcBorders>
          </w:tcPr>
          <w:p w:rsidR="007C719B" w:rsidRPr="00333617" w:rsidRDefault="007C719B" w:rsidP="00FD598A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אם לקחת בטעות מינון גבוה יותר</w:t>
            </w:r>
          </w:p>
        </w:tc>
        <w:tc>
          <w:tcPr>
            <w:tcW w:w="1985" w:type="dxa"/>
            <w:tcBorders>
              <w:top w:val="nil"/>
            </w:tcBorders>
          </w:tcPr>
          <w:p w:rsidR="007C719B" w:rsidRPr="00333617" w:rsidRDefault="00333617" w:rsidP="00AE76D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7371" w:type="dxa"/>
            <w:tcBorders>
              <w:top w:val="nil"/>
              <w:right w:val="single" w:sz="4" w:space="0" w:color="auto"/>
            </w:tcBorders>
          </w:tcPr>
          <w:p w:rsidR="007C719B" w:rsidRPr="00333617" w:rsidRDefault="007C719B" w:rsidP="007C719B">
            <w:pPr>
              <w:ind w:right="-567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highlight w:val="yellow"/>
                <w:rtl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highlight w:val="yellow"/>
                <w:rtl/>
                <w:lang w:eastAsia="en-US"/>
              </w:rPr>
              <w:t xml:space="preserve">אם לקחת בטעות מינון גבוה יותר </w:t>
            </w: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עליך לדווח לרופא בהקדם האפשרי</w:t>
            </w:r>
            <w:r w:rsidRPr="00333617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highlight w:val="yellow"/>
                <w:rtl/>
                <w:lang w:eastAsia="en-US"/>
              </w:rPr>
              <w:t>.</w:t>
            </w:r>
          </w:p>
          <w:p w:rsidR="007C719B" w:rsidRPr="00333617" w:rsidRDefault="007C719B" w:rsidP="007C719B">
            <w:pPr>
              <w:ind w:right="-567"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התופעות הבאות עלולות לקרות:</w:t>
            </w:r>
          </w:p>
          <w:p w:rsidR="007C719B" w:rsidRPr="00333617" w:rsidRDefault="007C719B" w:rsidP="007C719B">
            <w:pPr>
              <w:numPr>
                <w:ilvl w:val="0"/>
                <w:numId w:val="33"/>
              </w:numPr>
              <w:spacing w:line="276" w:lineRule="auto"/>
              <w:ind w:left="357" w:right="-567" w:hanging="35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הלב שלך יפעם מהר יותר מהרגיל</w:t>
            </w:r>
          </w:p>
          <w:p w:rsidR="007C719B" w:rsidRPr="00333617" w:rsidRDefault="007C719B" w:rsidP="007C719B">
            <w:pPr>
              <w:numPr>
                <w:ilvl w:val="0"/>
                <w:numId w:val="33"/>
              </w:numPr>
              <w:spacing w:line="276" w:lineRule="auto"/>
              <w:ind w:left="357" w:right="-567" w:hanging="35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תרגיש לא יציב</w:t>
            </w:r>
          </w:p>
          <w:p w:rsidR="007C719B" w:rsidRPr="00333617" w:rsidRDefault="007C719B" w:rsidP="007C719B">
            <w:pPr>
              <w:numPr>
                <w:ilvl w:val="0"/>
                <w:numId w:val="33"/>
              </w:numPr>
              <w:spacing w:line="276" w:lineRule="auto"/>
              <w:ind w:left="357" w:right="-567" w:hanging="357"/>
              <w:contextualSpacing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פעילות יתר (היפראקטיביות).</w:t>
            </w:r>
          </w:p>
          <w:p w:rsidR="007C719B" w:rsidRPr="00333617" w:rsidRDefault="007C719B" w:rsidP="007C719B">
            <w:pPr>
              <w:ind w:right="-567"/>
              <w:rPr>
                <w:rFonts w:asciiTheme="minorBidi" w:eastAsia="Calibri" w:hAnsiTheme="minorBidi" w:cstheme="minorBidi"/>
                <w:color w:val="00B050"/>
                <w:sz w:val="18"/>
                <w:szCs w:val="18"/>
                <w:rtl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תופעות אלה חולפות בדרך כלל בתוך כמה שעות.</w:t>
            </w:r>
          </w:p>
        </w:tc>
      </w:tr>
      <w:tr w:rsidR="00AE76D5" w:rsidRPr="00333617" w:rsidTr="00333617">
        <w:tc>
          <w:tcPr>
            <w:tcW w:w="1276" w:type="dxa"/>
          </w:tcPr>
          <w:p w:rsidR="00AE76D5" w:rsidRPr="00333617" w:rsidRDefault="00AE76D5" w:rsidP="00AE76D5">
            <w:pPr>
              <w:pStyle w:val="CM27"/>
              <w:bidi/>
              <w:spacing w:after="20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rtl/>
              </w:rPr>
              <w:t>תופעות לוואי</w:t>
            </w:r>
          </w:p>
          <w:p w:rsidR="00AE76D5" w:rsidRPr="00333617" w:rsidRDefault="00AE76D5" w:rsidP="00AE76D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AE76D5" w:rsidRPr="00333617" w:rsidRDefault="00C7182A" w:rsidP="00C7182A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רגישות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יתר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המתבטאת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בנפיחות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בעפעפיים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פנים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שפתיים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פריחה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בעור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קשיי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נשימה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לחץ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בחזה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נדיר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מאוד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: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הפסק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הטיפול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ופנה לרופא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מיד</w:t>
            </w:r>
            <w:r w:rsidRPr="00333617">
              <w:rPr>
                <w:rFonts w:asciiTheme="minorBidi" w:hAnsiTheme="minorBidi" w:cstheme="minorBidi"/>
                <w:sz w:val="18"/>
                <w:szCs w:val="18"/>
              </w:rPr>
              <w:t>!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7182A" w:rsidRPr="007D54BA" w:rsidRDefault="00C7182A" w:rsidP="00C7182A">
            <w:pPr>
              <w:ind w:right="-567"/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</w:pPr>
            <w:r w:rsidRPr="007D54BA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rtl/>
                <w:lang w:eastAsia="en-US"/>
              </w:rPr>
              <w:t xml:space="preserve">תגובות אלרגיות </w:t>
            </w:r>
            <w:r w:rsidRPr="007D54BA"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  <w:t>(נדיר מאד, עשויות להופיע ב-עד 1 מכל 10,000 אנשים)</w:t>
            </w:r>
          </w:p>
          <w:p w:rsidR="00C7182A" w:rsidRPr="007D54BA" w:rsidRDefault="00C7182A" w:rsidP="00C7182A">
            <w:pPr>
              <w:spacing w:after="200"/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</w:pPr>
            <w:r w:rsidRPr="00333617"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  <w:t>אם יש לך תגובה אלרגית, הפסק להשתמש בונטולין דיסקוס ופנה לרופא מיד. סימנים של תגובה אלרגית כוללים: התנפחות של הפנים, השפתיים,</w:t>
            </w:r>
            <w:r w:rsidRPr="007D54BA"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  <w:t xml:space="preserve"> </w:t>
            </w:r>
            <w:r w:rsidRPr="007D54BA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הפה, הלשון או הגרון שעלולה לגרום לקשיים בבליעה</w:t>
            </w:r>
            <w:r w:rsidRPr="007D54BA"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  <w:t xml:space="preserve"> או בנשימה, פריחה מגרדת, </w:t>
            </w:r>
            <w:r w:rsidRPr="007D54BA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תחושת עלפון וסחרחורת, והתמוטטות.</w:t>
            </w:r>
          </w:p>
          <w:p w:rsidR="001E1C4A" w:rsidRPr="007D54BA" w:rsidRDefault="001E1C4A" w:rsidP="007D54BA">
            <w:pPr>
              <w:ind w:right="-567"/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</w:pPr>
            <w:r w:rsidRPr="007D54BA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rtl/>
                <w:lang w:eastAsia="en-US"/>
              </w:rPr>
              <w:t xml:space="preserve">תופעות לוואי שכיחות </w:t>
            </w:r>
            <w:r w:rsidRPr="007D54BA">
              <w:rPr>
                <w:rFonts w:asciiTheme="minorBidi" w:eastAsia="Calibri" w:hAnsiTheme="minorBidi" w:cstheme="minorBidi"/>
                <w:sz w:val="18"/>
                <w:szCs w:val="18"/>
                <w:rtl/>
                <w:lang w:eastAsia="en-US"/>
              </w:rPr>
              <w:t>(עשויות להופיע ב-עד 1 מכל 10 אנשים)</w:t>
            </w:r>
          </w:p>
          <w:p w:rsidR="00C7182A" w:rsidRPr="007D54BA" w:rsidRDefault="001E1C4A" w:rsidP="001E1C4A">
            <w:pPr>
              <w:numPr>
                <w:ilvl w:val="0"/>
                <w:numId w:val="34"/>
              </w:numPr>
              <w:spacing w:after="200" w:line="276" w:lineRule="auto"/>
              <w:ind w:left="357" w:right="-567" w:hanging="357"/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</w:pPr>
            <w:r w:rsidRPr="007D54BA">
              <w:rPr>
                <w:rFonts w:asciiTheme="minorBidi" w:eastAsia="Calibri" w:hAnsiTheme="minorBidi" w:cstheme="minorBidi"/>
                <w:sz w:val="18"/>
                <w:szCs w:val="18"/>
                <w:highlight w:val="yellow"/>
                <w:rtl/>
                <w:lang w:eastAsia="en-US"/>
              </w:rPr>
              <w:t>הרגשת רעידות</w:t>
            </w:r>
          </w:p>
          <w:p w:rsidR="00AE76D5" w:rsidRPr="00333617" w:rsidRDefault="00AE76D5" w:rsidP="00B66CA7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3361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תופעות לוואי נדירות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(</w:t>
            </w:r>
            <w:r w:rsidR="00B66CA7"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עשויות להופיע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ב</w:t>
            </w:r>
            <w:r w:rsidR="00B66CA7"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-עד 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1 </w:t>
            </w:r>
            <w:r w:rsidR="00B66CA7"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מכל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1</w:t>
            </w:r>
            <w:r w:rsidR="00B66CA7"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,</w:t>
            </w:r>
            <w:r w:rsidRPr="00333617">
              <w:rPr>
                <w:rFonts w:asciiTheme="minorBidi" w:hAnsiTheme="minorBidi" w:cstheme="minorBidi"/>
                <w:sz w:val="18"/>
                <w:szCs w:val="18"/>
                <w:rtl/>
              </w:rPr>
              <w:t>000 אנשים)</w:t>
            </w:r>
          </w:p>
          <w:p w:rsidR="00AE76D5" w:rsidRPr="00333617" w:rsidRDefault="00AE76D5" w:rsidP="00AE76D5">
            <w:pPr>
              <w:numPr>
                <w:ilvl w:val="0"/>
                <w:numId w:val="28"/>
              </w:numPr>
              <w:ind w:right="-567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r w:rsidRPr="00333617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רמה נמוכה של אשלגן בדמך</w:t>
            </w:r>
          </w:p>
          <w:p w:rsidR="00AE76D5" w:rsidRPr="00333617" w:rsidRDefault="00AE76D5" w:rsidP="00AE76D5">
            <w:pPr>
              <w:numPr>
                <w:ilvl w:val="0"/>
                <w:numId w:val="28"/>
              </w:numPr>
              <w:spacing w:after="200"/>
              <w:ind w:right="-567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r w:rsidRPr="00333617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זרימת דם מוגברת לגפיים שלך.</w:t>
            </w:r>
          </w:p>
          <w:p w:rsidR="001E1C4A" w:rsidRPr="007D54BA" w:rsidRDefault="001E1C4A" w:rsidP="001E1C4A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D54B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תופעות לוואי נדירות מאוד </w:t>
            </w:r>
            <w:r w:rsidRPr="007D54BA">
              <w:rPr>
                <w:rFonts w:asciiTheme="minorBidi" w:hAnsiTheme="minorBidi" w:cstheme="minorBidi"/>
                <w:sz w:val="18"/>
                <w:szCs w:val="18"/>
                <w:rtl/>
              </w:rPr>
              <w:t>(עשויות להופיע ב-עד 1 מכל 10,000 אנשים)</w:t>
            </w:r>
          </w:p>
          <w:p w:rsidR="001E1C4A" w:rsidRPr="007D54BA" w:rsidRDefault="001E1C4A" w:rsidP="007D54BA">
            <w:pPr>
              <w:numPr>
                <w:ilvl w:val="0"/>
                <w:numId w:val="28"/>
              </w:numPr>
              <w:ind w:right="-567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D54BA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שינויים בדפוסי השינה ושינויים בהתנהגות</w:t>
            </w:r>
            <w:r w:rsidRPr="007D54BA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, כמו חוסר מנוחה </w:t>
            </w:r>
            <w:r w:rsidRPr="007D54BA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והתרגשות יתר (היפראקטיביות)</w:t>
            </w:r>
            <w:r w:rsidRPr="007D54BA">
              <w:rPr>
                <w:rFonts w:asciiTheme="minorBidi" w:hAnsiTheme="minorBidi" w:cstheme="minorBidi"/>
                <w:sz w:val="18"/>
                <w:szCs w:val="18"/>
                <w:rtl/>
              </w:rPr>
              <w:t>.</w:t>
            </w:r>
          </w:p>
        </w:tc>
      </w:tr>
    </w:tbl>
    <w:p w:rsidR="00AE76D5" w:rsidRPr="00333617" w:rsidRDefault="00AE76D5" w:rsidP="00333617">
      <w:pPr>
        <w:ind w:right="-142"/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333617" w:rsidRPr="00334D50" w:rsidRDefault="00333617" w:rsidP="00333617">
      <w:pPr>
        <w:ind w:left="-143" w:right="-142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334D50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מצ"ב העלון, שבו מסומנות ההחמרות המבוקשות  </w:t>
      </w:r>
      <w:r w:rsidRPr="00334D50">
        <w:rPr>
          <w:rFonts w:asciiTheme="minorBidi" w:hAnsiTheme="minorBidi" w:cstheme="minorBidi"/>
          <w:b/>
          <w:bCs/>
          <w:sz w:val="18"/>
          <w:szCs w:val="18"/>
          <w:highlight w:val="yellow"/>
          <w:rtl/>
        </w:rPr>
        <w:t>על רקע צהוב</w:t>
      </w:r>
      <w:r w:rsidRPr="00334D50">
        <w:rPr>
          <w:rFonts w:asciiTheme="minorBidi" w:hAnsiTheme="minorBidi" w:cstheme="minorBidi"/>
          <w:b/>
          <w:bCs/>
          <w:sz w:val="18"/>
          <w:szCs w:val="18"/>
          <w:rtl/>
        </w:rPr>
        <w:t>.</w:t>
      </w:r>
    </w:p>
    <w:p w:rsidR="009C70DE" w:rsidRPr="00333617" w:rsidRDefault="00333617" w:rsidP="00F95618">
      <w:pPr>
        <w:pBdr>
          <w:bottom w:val="single" w:sz="4" w:space="0" w:color="auto"/>
        </w:pBdr>
        <w:ind w:left="-143" w:right="-142"/>
        <w:rPr>
          <w:rFonts w:asciiTheme="minorBidi" w:hAnsiTheme="minorBidi" w:cstheme="minorBidi"/>
          <w:sz w:val="18"/>
          <w:szCs w:val="18"/>
          <w:rtl/>
        </w:rPr>
      </w:pPr>
      <w:r w:rsidRPr="00334D50">
        <w:rPr>
          <w:rFonts w:asciiTheme="minorBidi" w:hAnsiTheme="minorBidi" w:cstheme="minorBidi"/>
          <w:sz w:val="18"/>
          <w:szCs w:val="18"/>
          <w:rtl/>
        </w:rPr>
        <w:t xml:space="preserve">שינויים שאינם בגדר החמרות סומנו </w:t>
      </w:r>
      <w:r w:rsidRPr="00334D50">
        <w:rPr>
          <w:rFonts w:asciiTheme="minorBidi" w:hAnsiTheme="minorBidi" w:cstheme="minorBidi"/>
          <w:sz w:val="18"/>
          <w:szCs w:val="18"/>
          <w:u w:val="single"/>
          <w:rtl/>
        </w:rPr>
        <w:t>(בעלון)</w:t>
      </w:r>
      <w:r w:rsidRPr="00334D50">
        <w:rPr>
          <w:rFonts w:asciiTheme="minorBidi" w:hAnsiTheme="minorBidi" w:cstheme="minorBidi"/>
          <w:sz w:val="18"/>
          <w:szCs w:val="18"/>
          <w:rtl/>
        </w:rPr>
        <w:t xml:space="preserve"> בצבע </w:t>
      </w:r>
      <w:r w:rsidRPr="00334D50">
        <w:rPr>
          <w:rFonts w:asciiTheme="minorBidi" w:hAnsiTheme="minorBidi" w:cstheme="minorBidi"/>
          <w:color w:val="00B050"/>
          <w:sz w:val="18"/>
          <w:szCs w:val="18"/>
          <w:rtl/>
        </w:rPr>
        <w:t>ירוק</w:t>
      </w:r>
      <w:r w:rsidR="00F92691" w:rsidRPr="00334D50">
        <w:rPr>
          <w:rFonts w:asciiTheme="minorBidi" w:hAnsiTheme="minorBidi" w:cstheme="minorBidi"/>
          <w:sz w:val="18"/>
          <w:szCs w:val="18"/>
          <w:rtl/>
        </w:rPr>
        <w:t>.</w:t>
      </w:r>
    </w:p>
    <w:sectPr w:rsidR="009C70DE" w:rsidRPr="00333617" w:rsidSect="007F1DF9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67B97"/>
    <w:multiLevelType w:val="hybridMultilevel"/>
    <w:tmpl w:val="4664B674"/>
    <w:lvl w:ilvl="0" w:tplc="CFF6B9F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AACC3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FACC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6478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927E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90636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A672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1296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04F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7589B"/>
    <w:multiLevelType w:val="hybridMultilevel"/>
    <w:tmpl w:val="3092B9A6"/>
    <w:lvl w:ilvl="0" w:tplc="0EF050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EF4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1E5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106D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085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404E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301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EE5D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2C82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3441A"/>
    <w:multiLevelType w:val="hybridMultilevel"/>
    <w:tmpl w:val="509E4824"/>
    <w:lvl w:ilvl="0" w:tplc="E9FC1610">
      <w:start w:val="1"/>
      <w:numFmt w:val="decimal"/>
      <w:lvlText w:val="%1."/>
      <w:lvlJc w:val="left"/>
      <w:pPr>
        <w:ind w:hanging="360"/>
      </w:pPr>
      <w:rPr>
        <w:rFonts w:ascii="Arial" w:hAnsi="Arial" w:cs="Arial" w:hint="default"/>
        <w:b/>
        <w:bCs/>
        <w:color w:val="auto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9D60B25"/>
    <w:multiLevelType w:val="hybridMultilevel"/>
    <w:tmpl w:val="8A962D7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>
    <w:nsid w:val="0E7665CA"/>
    <w:multiLevelType w:val="hybridMultilevel"/>
    <w:tmpl w:val="93B4C8CA"/>
    <w:lvl w:ilvl="0" w:tplc="3C3EA490">
      <w:numFmt w:val="bullet"/>
      <w:lvlText w:val=""/>
      <w:lvlJc w:val="left"/>
      <w:pPr>
        <w:ind w:left="1095" w:hanging="375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AF4574"/>
    <w:multiLevelType w:val="hybridMultilevel"/>
    <w:tmpl w:val="59E4131A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78374F"/>
    <w:multiLevelType w:val="hybridMultilevel"/>
    <w:tmpl w:val="BE8A5C04"/>
    <w:lvl w:ilvl="0" w:tplc="5B8C88BA">
      <w:numFmt w:val="bullet"/>
      <w:lvlText w:val=""/>
      <w:lvlJc w:val="left"/>
      <w:pPr>
        <w:ind w:left="1177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8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BF0431"/>
    <w:multiLevelType w:val="hybridMultilevel"/>
    <w:tmpl w:val="D7DC89E0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524DE"/>
    <w:multiLevelType w:val="hybridMultilevel"/>
    <w:tmpl w:val="1B90CBB2"/>
    <w:lvl w:ilvl="0" w:tplc="7988C272">
      <w:numFmt w:val="bullet"/>
      <w:lvlText w:val=""/>
      <w:lvlJc w:val="left"/>
      <w:pPr>
        <w:ind w:left="1140" w:hanging="42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B94ED4"/>
    <w:multiLevelType w:val="hybridMultilevel"/>
    <w:tmpl w:val="1B808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A2664F"/>
    <w:multiLevelType w:val="hybridMultilevel"/>
    <w:tmpl w:val="59F45BAA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2346D"/>
    <w:multiLevelType w:val="hybridMultilevel"/>
    <w:tmpl w:val="F3DE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A0137"/>
    <w:multiLevelType w:val="hybridMultilevel"/>
    <w:tmpl w:val="AD3C7E16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341A53"/>
    <w:multiLevelType w:val="hybridMultilevel"/>
    <w:tmpl w:val="23C81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2B3D03"/>
    <w:multiLevelType w:val="hybridMultilevel"/>
    <w:tmpl w:val="AD38BEB2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3691E"/>
    <w:multiLevelType w:val="hybridMultilevel"/>
    <w:tmpl w:val="DE3AFE2C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B038B"/>
    <w:multiLevelType w:val="hybridMultilevel"/>
    <w:tmpl w:val="2D522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4415AF"/>
    <w:multiLevelType w:val="hybridMultilevel"/>
    <w:tmpl w:val="04B607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9CE2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7138A0"/>
    <w:multiLevelType w:val="hybridMultilevel"/>
    <w:tmpl w:val="33B4F286"/>
    <w:lvl w:ilvl="0" w:tplc="FAAAEBF2">
      <w:numFmt w:val="bullet"/>
      <w:lvlText w:val=""/>
      <w:lvlJc w:val="left"/>
      <w:pPr>
        <w:ind w:left="1140" w:hanging="42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3F220C"/>
    <w:multiLevelType w:val="hybridMultilevel"/>
    <w:tmpl w:val="DE54FEBC"/>
    <w:lvl w:ilvl="0" w:tplc="3100510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46EE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E6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0E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0D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48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4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49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B4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04AC9"/>
    <w:multiLevelType w:val="hybridMultilevel"/>
    <w:tmpl w:val="348AEFE4"/>
    <w:lvl w:ilvl="0" w:tplc="B19E9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FF6F03"/>
    <w:multiLevelType w:val="hybridMultilevel"/>
    <w:tmpl w:val="41CC8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319DC"/>
    <w:multiLevelType w:val="hybridMultilevel"/>
    <w:tmpl w:val="87C4EC3A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C24AB"/>
    <w:multiLevelType w:val="hybridMultilevel"/>
    <w:tmpl w:val="D1BC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65A4"/>
    <w:multiLevelType w:val="hybridMultilevel"/>
    <w:tmpl w:val="F5FEAA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A05E86"/>
    <w:multiLevelType w:val="hybridMultilevel"/>
    <w:tmpl w:val="02688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10619C"/>
    <w:multiLevelType w:val="hybridMultilevel"/>
    <w:tmpl w:val="C040F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C523EB"/>
    <w:multiLevelType w:val="hybridMultilevel"/>
    <w:tmpl w:val="5B868DD2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96796F"/>
    <w:multiLevelType w:val="hybridMultilevel"/>
    <w:tmpl w:val="E65CF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D73AE"/>
    <w:multiLevelType w:val="hybridMultilevel"/>
    <w:tmpl w:val="81703EF0"/>
    <w:lvl w:ilvl="0" w:tplc="534E47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5220A1"/>
    <w:multiLevelType w:val="hybridMultilevel"/>
    <w:tmpl w:val="FE5835B2"/>
    <w:lvl w:ilvl="0" w:tplc="6F4AE0C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C9902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67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42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1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64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0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A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E7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0336B"/>
    <w:multiLevelType w:val="hybridMultilevel"/>
    <w:tmpl w:val="6DB636DE"/>
    <w:lvl w:ilvl="0" w:tplc="083E7720">
      <w:numFmt w:val="bullet"/>
      <w:lvlText w:val=""/>
      <w:lvlJc w:val="left"/>
      <w:pPr>
        <w:ind w:left="1132" w:hanging="360"/>
      </w:pPr>
      <w:rPr>
        <w:rFonts w:ascii="Wingdings 2" w:eastAsia="Times New Roman" w:hAnsi="Wingdings 2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7"/>
  </w:num>
  <w:num w:numId="5">
    <w:abstractNumId w:val="14"/>
  </w:num>
  <w:num w:numId="6">
    <w:abstractNumId w:val="30"/>
  </w:num>
  <w:num w:numId="7">
    <w:abstractNumId w:val="12"/>
  </w:num>
  <w:num w:numId="8">
    <w:abstractNumId w:val="5"/>
  </w:num>
  <w:num w:numId="9">
    <w:abstractNumId w:val="24"/>
  </w:num>
  <w:num w:numId="10">
    <w:abstractNumId w:val="17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1"/>
  </w:num>
  <w:num w:numId="17">
    <w:abstractNumId w:val="33"/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63" w:hanging="283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19"/>
  </w:num>
  <w:num w:numId="25">
    <w:abstractNumId w:val="15"/>
  </w:num>
  <w:num w:numId="26">
    <w:abstractNumId w:val="27"/>
  </w:num>
  <w:num w:numId="27">
    <w:abstractNumId w:val="31"/>
  </w:num>
  <w:num w:numId="28">
    <w:abstractNumId w:val="23"/>
  </w:num>
  <w:num w:numId="29">
    <w:abstractNumId w:val="28"/>
  </w:num>
  <w:num w:numId="30">
    <w:abstractNumId w:val="22"/>
  </w:num>
  <w:num w:numId="31">
    <w:abstractNumId w:val="18"/>
  </w:num>
  <w:num w:numId="32">
    <w:abstractNumId w:val="4"/>
  </w:num>
  <w:num w:numId="33">
    <w:abstractNumId w:val="29"/>
  </w:num>
  <w:num w:numId="34">
    <w:abstractNumId w:val="2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26D7B"/>
    <w:rsid w:val="000356F8"/>
    <w:rsid w:val="0005030A"/>
    <w:rsid w:val="000542C0"/>
    <w:rsid w:val="001012E1"/>
    <w:rsid w:val="00112F2C"/>
    <w:rsid w:val="001543B4"/>
    <w:rsid w:val="001658AE"/>
    <w:rsid w:val="001A0ED3"/>
    <w:rsid w:val="001C368A"/>
    <w:rsid w:val="001E1C4A"/>
    <w:rsid w:val="001F5E77"/>
    <w:rsid w:val="001F7182"/>
    <w:rsid w:val="00236AB9"/>
    <w:rsid w:val="00260355"/>
    <w:rsid w:val="00294B49"/>
    <w:rsid w:val="002A42E7"/>
    <w:rsid w:val="002E3A4B"/>
    <w:rsid w:val="002F3ABE"/>
    <w:rsid w:val="00300616"/>
    <w:rsid w:val="00333617"/>
    <w:rsid w:val="00334D50"/>
    <w:rsid w:val="00352380"/>
    <w:rsid w:val="00357B4F"/>
    <w:rsid w:val="0036025C"/>
    <w:rsid w:val="00380A93"/>
    <w:rsid w:val="00383654"/>
    <w:rsid w:val="003C1B4C"/>
    <w:rsid w:val="003D7578"/>
    <w:rsid w:val="00410789"/>
    <w:rsid w:val="0042256A"/>
    <w:rsid w:val="004E3DBF"/>
    <w:rsid w:val="00553975"/>
    <w:rsid w:val="0057352E"/>
    <w:rsid w:val="005739FF"/>
    <w:rsid w:val="00585216"/>
    <w:rsid w:val="005D6B6C"/>
    <w:rsid w:val="005E4046"/>
    <w:rsid w:val="006353A9"/>
    <w:rsid w:val="00651378"/>
    <w:rsid w:val="00687E7A"/>
    <w:rsid w:val="006E29B2"/>
    <w:rsid w:val="00717E56"/>
    <w:rsid w:val="00732AAC"/>
    <w:rsid w:val="007365C3"/>
    <w:rsid w:val="00751E25"/>
    <w:rsid w:val="00754582"/>
    <w:rsid w:val="00757E5F"/>
    <w:rsid w:val="007B3181"/>
    <w:rsid w:val="007C719B"/>
    <w:rsid w:val="007D54BA"/>
    <w:rsid w:val="007E4DA9"/>
    <w:rsid w:val="007F1DF9"/>
    <w:rsid w:val="008102AD"/>
    <w:rsid w:val="00812962"/>
    <w:rsid w:val="008438E9"/>
    <w:rsid w:val="00847093"/>
    <w:rsid w:val="00862524"/>
    <w:rsid w:val="00865D86"/>
    <w:rsid w:val="00873802"/>
    <w:rsid w:val="00873AEB"/>
    <w:rsid w:val="00893A4D"/>
    <w:rsid w:val="008A04A9"/>
    <w:rsid w:val="008B1D16"/>
    <w:rsid w:val="008C34BA"/>
    <w:rsid w:val="008E1BC2"/>
    <w:rsid w:val="00916F42"/>
    <w:rsid w:val="00943BE5"/>
    <w:rsid w:val="00955F40"/>
    <w:rsid w:val="00964A41"/>
    <w:rsid w:val="00973F87"/>
    <w:rsid w:val="00990E51"/>
    <w:rsid w:val="009C4FA9"/>
    <w:rsid w:val="009C66E2"/>
    <w:rsid w:val="009C70DE"/>
    <w:rsid w:val="009D7361"/>
    <w:rsid w:val="009F60E5"/>
    <w:rsid w:val="00A21804"/>
    <w:rsid w:val="00A46AAB"/>
    <w:rsid w:val="00A801D5"/>
    <w:rsid w:val="00A875C0"/>
    <w:rsid w:val="00A9463E"/>
    <w:rsid w:val="00A955E8"/>
    <w:rsid w:val="00AA273E"/>
    <w:rsid w:val="00AA3125"/>
    <w:rsid w:val="00AB3445"/>
    <w:rsid w:val="00AE0973"/>
    <w:rsid w:val="00AE76D5"/>
    <w:rsid w:val="00B20791"/>
    <w:rsid w:val="00B5004E"/>
    <w:rsid w:val="00B63C52"/>
    <w:rsid w:val="00B66CA7"/>
    <w:rsid w:val="00B7544B"/>
    <w:rsid w:val="00B757C7"/>
    <w:rsid w:val="00B86949"/>
    <w:rsid w:val="00BC059A"/>
    <w:rsid w:val="00BD5E84"/>
    <w:rsid w:val="00BF5BE0"/>
    <w:rsid w:val="00C02735"/>
    <w:rsid w:val="00C06B93"/>
    <w:rsid w:val="00C27EA5"/>
    <w:rsid w:val="00C46C47"/>
    <w:rsid w:val="00C55A70"/>
    <w:rsid w:val="00C6124B"/>
    <w:rsid w:val="00C702AA"/>
    <w:rsid w:val="00C7182A"/>
    <w:rsid w:val="00C9373F"/>
    <w:rsid w:val="00CA59B7"/>
    <w:rsid w:val="00CB7DA1"/>
    <w:rsid w:val="00CC2F2F"/>
    <w:rsid w:val="00CC74D9"/>
    <w:rsid w:val="00CE2209"/>
    <w:rsid w:val="00CE58E7"/>
    <w:rsid w:val="00D04201"/>
    <w:rsid w:val="00D468F3"/>
    <w:rsid w:val="00D5595E"/>
    <w:rsid w:val="00D600A0"/>
    <w:rsid w:val="00D613B5"/>
    <w:rsid w:val="00D747E0"/>
    <w:rsid w:val="00D82E6F"/>
    <w:rsid w:val="00D84CFF"/>
    <w:rsid w:val="00DA1744"/>
    <w:rsid w:val="00DC3D8A"/>
    <w:rsid w:val="00DD036A"/>
    <w:rsid w:val="00E04CAE"/>
    <w:rsid w:val="00E13D2C"/>
    <w:rsid w:val="00E41CF3"/>
    <w:rsid w:val="00E811D2"/>
    <w:rsid w:val="00EA2BFA"/>
    <w:rsid w:val="00EA6989"/>
    <w:rsid w:val="00EA6E38"/>
    <w:rsid w:val="00EB1F52"/>
    <w:rsid w:val="00ED524C"/>
    <w:rsid w:val="00EE3F64"/>
    <w:rsid w:val="00EF09EC"/>
    <w:rsid w:val="00F03688"/>
    <w:rsid w:val="00F043DF"/>
    <w:rsid w:val="00F82F1A"/>
    <w:rsid w:val="00F92691"/>
    <w:rsid w:val="00F95618"/>
    <w:rsid w:val="00FD598A"/>
    <w:rsid w:val="00FE765B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">
    <w:name w:val="רגיל1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BodyTextIndent">
    <w:name w:val="Body Text Indent"/>
    <w:basedOn w:val="Normal"/>
    <w:link w:val="BodyTextIndentChar"/>
    <w:rsid w:val="00CC74D9"/>
    <w:pPr>
      <w:bidi w:val="0"/>
      <w:ind w:left="720"/>
    </w:pPr>
    <w:rPr>
      <w:lang w:val="en-GB" w:eastAsia="en-US"/>
    </w:rPr>
  </w:style>
  <w:style w:type="character" w:customStyle="1" w:styleId="BodyTextIndentChar">
    <w:name w:val="Body Text Indent Char"/>
    <w:link w:val="BodyTextIndent"/>
    <w:rsid w:val="00CC74D9"/>
    <w:rPr>
      <w:rFonts w:cs="David"/>
      <w:sz w:val="24"/>
      <w:szCs w:val="24"/>
      <w:lang w:val="en-GB"/>
    </w:rPr>
  </w:style>
  <w:style w:type="paragraph" w:customStyle="1" w:styleId="NoNumHead3">
    <w:name w:val="NoNum:Head3"/>
    <w:basedOn w:val="Normal"/>
    <w:next w:val="Normal"/>
    <w:autoRedefine/>
    <w:rsid w:val="00CC74D9"/>
    <w:pPr>
      <w:keepNext/>
      <w:bidi w:val="0"/>
      <w:outlineLvl w:val="0"/>
    </w:pPr>
    <w:rPr>
      <w:rFonts w:ascii="Arial" w:hAnsi="Arial" w:cs="Arial"/>
      <w:b/>
      <w:sz w:val="26"/>
      <w:szCs w:val="26"/>
      <w:lang w:val="en-GB" w:eastAsia="en-US"/>
    </w:rPr>
  </w:style>
  <w:style w:type="paragraph" w:customStyle="1" w:styleId="Default">
    <w:name w:val="Default"/>
    <w:rsid w:val="001F5E77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1F5E77"/>
    <w:rPr>
      <w:color w:val="auto"/>
    </w:rPr>
  </w:style>
  <w:style w:type="character" w:styleId="CommentReference">
    <w:name w:val="annotation reference"/>
    <w:uiPriority w:val="99"/>
    <w:unhideWhenUsed/>
    <w:rsid w:val="001F5E77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E77"/>
    <w:pPr>
      <w:spacing w:after="200" w:line="276" w:lineRule="auto"/>
      <w:ind w:left="720"/>
    </w:pPr>
    <w:rPr>
      <w:rFonts w:ascii="Calibri" w:eastAsia="PMingLiU" w:hAnsi="Calibri" w:cs="Arial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F5E77"/>
    <w:pPr>
      <w:spacing w:after="200"/>
      <w:ind w:right="-567"/>
    </w:pPr>
    <w:rPr>
      <w:rFonts w:ascii="Calibri" w:eastAsia="PMingLiU" w:hAnsi="Calibri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F5E77"/>
    <w:rPr>
      <w:rFonts w:ascii="Calibri" w:eastAsia="PMingLiU" w:hAnsi="Calibri" w:cs="Arial"/>
    </w:rPr>
  </w:style>
  <w:style w:type="paragraph" w:customStyle="1" w:styleId="DSCText">
    <w:name w:val="DSC_Text"/>
    <w:basedOn w:val="Normal"/>
    <w:rsid w:val="007365C3"/>
    <w:pPr>
      <w:bidi w:val="0"/>
      <w:ind w:firstLine="199"/>
      <w:jc w:val="both"/>
    </w:pPr>
    <w:rPr>
      <w:rFonts w:ascii="Helv" w:hAnsi="Helv" w:cs="Times New Roman"/>
      <w:sz w:val="20"/>
      <w:szCs w:val="2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169807016</AutoNumber>
    <REQUESTNUMBER xmlns="43f5c83f-d7ad-4276-a107-8019a824ecd5">93220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67734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החמרות בעלונים_06_2014</UCOMMENTS>
    <OWNER xmlns="43f5c83f-d7ad-4276-a107-8019a824ecd5">636</OWNER>
    <ISPUBLIC xmlns="43f5c83f-d7ad-4276-a107-8019a824ecd5">1</ISPUBLIC>
    <SDHebDate xmlns="43f5c83f-d7ad-4276-a107-8019a824ecd5">א' בתמוז, התשע"ד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3067400</REGISTRATIONNUMBER>
    <SDCategories xmlns="43f5c83f-d7ad-4276-a107-8019a824ecd5" xsi:nil="true"/>
    <SDDocDate xmlns="43f5c83f-d7ad-4276-a107-8019a824ecd5">2014-06-29T05:00:01+00:00</SDDocDate>
    <DRAGOBJID xmlns="43f5c83f-d7ad-4276-a107-8019a824ecd5">3067400</DRAGOBJID>
    <mossuploaddate xmlns="43f5c83f-d7ad-4276-a107-8019a824ecd5">2014-06-29 09:51:41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F898E-32DF-4E90-BF2B-B509B29A4908}"/>
</file>

<file path=customXml/itemProps2.xml><?xml version="1.0" encoding="utf-8"?>
<ds:datastoreItem xmlns:ds="http://schemas.openxmlformats.org/officeDocument/2006/customXml" ds:itemID="{D0596F49-7629-462E-8A9F-67345744FF39}"/>
</file>

<file path=customXml/itemProps3.xml><?xml version="1.0" encoding="utf-8"?>
<ds:datastoreItem xmlns:ds="http://schemas.openxmlformats.org/officeDocument/2006/customXml" ds:itemID="{86A2CB7F-5131-48BB-B300-03F58D20B773}"/>
</file>

<file path=customXml/itemProps4.xml><?xml version="1.0" encoding="utf-8"?>
<ds:datastoreItem xmlns:ds="http://schemas.openxmlformats.org/officeDocument/2006/customXml" ds:itemID="{4A47DC31-49DE-467B-9C36-DA0F76C30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695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Ventolin_Diskus_Strengthens_form_06_2014-last.ed</dc:title>
  <dc:creator>hy47755</dc:creator>
  <cp:lastModifiedBy>aar19880</cp:lastModifiedBy>
  <cp:revision>9</cp:revision>
  <cp:lastPrinted>2013-10-27T05:46:00Z</cp:lastPrinted>
  <dcterms:created xsi:type="dcterms:W3CDTF">2014-06-17T10:13:00Z</dcterms:created>
  <dcterms:modified xsi:type="dcterms:W3CDTF">2014-06-25T11:08:00Z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