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96" w:rsidRDefault="008E7296" w:rsidP="008E7296">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לרופא</w:t>
      </w:r>
    </w:p>
    <w:p w:rsidR="007063BF" w:rsidRPr="0077598B" w:rsidRDefault="008E7296" w:rsidP="008E7296">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007063BF" w:rsidRPr="0077598B">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063BF" w:rsidRDefault="007063BF">
      <w:pPr>
        <w:rPr>
          <w:b/>
          <w:bCs/>
          <w:rtl/>
        </w:rPr>
      </w:pPr>
    </w:p>
    <w:p w:rsidR="007063BF" w:rsidRPr="00D3782D" w:rsidRDefault="007063BF" w:rsidP="00F52D61">
      <w:pPr>
        <w:spacing w:line="360" w:lineRule="auto"/>
        <w:rPr>
          <w:rFonts w:cs="David Transparent"/>
          <w:sz w:val="20"/>
          <w:szCs w:val="20"/>
          <w:rtl/>
        </w:rPr>
      </w:pPr>
      <w:r w:rsidRPr="00FC10E6">
        <w:rPr>
          <w:rFonts w:cs="David Transparent" w:hint="cs"/>
          <w:b/>
          <w:bCs/>
          <w:rtl/>
        </w:rPr>
        <w:t>תאריך</w:t>
      </w:r>
      <w:r w:rsidR="004224DB" w:rsidRPr="00FC10E6">
        <w:rPr>
          <w:rFonts w:cs="David Transparent" w:hint="cs"/>
          <w:b/>
          <w:bCs/>
          <w:rtl/>
        </w:rPr>
        <w:t>:</w:t>
      </w:r>
      <w:r w:rsidR="00F90E5E" w:rsidRPr="00D3782D">
        <w:rPr>
          <w:rFonts w:cs="David Transparent" w:hint="cs"/>
          <w:rtl/>
        </w:rPr>
        <w:tab/>
      </w:r>
    </w:p>
    <w:p w:rsidR="00D80D0B" w:rsidRDefault="007063BF" w:rsidP="00570270">
      <w:pPr>
        <w:spacing w:line="360" w:lineRule="auto"/>
        <w:rPr>
          <w:rFonts w:cs="David Transparent"/>
          <w:b/>
          <w:bCs/>
        </w:rPr>
      </w:pPr>
      <w:r w:rsidRPr="00FC10E6">
        <w:rPr>
          <w:rFonts w:cs="David Transparent" w:hint="cs"/>
          <w:b/>
          <w:bCs/>
          <w:rtl/>
        </w:rPr>
        <w:t>שם תכשיר באנגלית</w:t>
      </w:r>
      <w:r w:rsidR="004224DB" w:rsidRPr="00FC10E6">
        <w:rPr>
          <w:rFonts w:cs="David Transparent" w:hint="cs"/>
          <w:b/>
          <w:bCs/>
          <w:rtl/>
        </w:rPr>
        <w:t>:</w:t>
      </w:r>
      <w:r w:rsidR="008D4CE3" w:rsidRPr="00FC10E6">
        <w:rPr>
          <w:rFonts w:cs="David Transparent" w:hint="cs"/>
          <w:b/>
          <w:bCs/>
          <w:rtl/>
        </w:rPr>
        <w:tab/>
      </w:r>
      <w:r w:rsidR="00570270">
        <w:rPr>
          <w:rFonts w:cs="David Transparent"/>
          <w:b/>
          <w:bCs/>
        </w:rPr>
        <w:t>Trileptin 300mg, 600mg</w:t>
      </w:r>
    </w:p>
    <w:p w:rsidR="007063BF" w:rsidRPr="00FC10E6" w:rsidRDefault="007063BF" w:rsidP="00570270">
      <w:pPr>
        <w:spacing w:line="360" w:lineRule="auto"/>
        <w:rPr>
          <w:rFonts w:cs="David Transparent"/>
          <w:b/>
          <w:bCs/>
          <w:rtl/>
        </w:rPr>
      </w:pPr>
      <w:r w:rsidRPr="00FC10E6">
        <w:rPr>
          <w:rFonts w:cs="David Transparent" w:hint="cs"/>
          <w:b/>
          <w:bCs/>
          <w:rtl/>
        </w:rPr>
        <w:t xml:space="preserve">מספר </w:t>
      </w:r>
      <w:r w:rsidR="008E7296">
        <w:rPr>
          <w:rFonts w:cs="David Transparent" w:hint="cs"/>
          <w:b/>
          <w:bCs/>
          <w:rtl/>
        </w:rPr>
        <w:t>ה</w:t>
      </w:r>
      <w:r w:rsidRPr="00FC10E6">
        <w:rPr>
          <w:rFonts w:cs="David Transparent" w:hint="cs"/>
          <w:b/>
          <w:bCs/>
          <w:rtl/>
        </w:rPr>
        <w:t>רישום:</w:t>
      </w:r>
      <w:r w:rsidR="00F90E5E" w:rsidRPr="00FC10E6">
        <w:rPr>
          <w:rFonts w:cs="David Transparent" w:hint="cs"/>
          <w:b/>
          <w:bCs/>
          <w:rtl/>
        </w:rPr>
        <w:tab/>
      </w:r>
      <w:r w:rsidR="001A608C">
        <w:rPr>
          <w:rFonts w:cs="David Transparent"/>
          <w:b/>
          <w:bCs/>
        </w:rPr>
        <w:t>[</w:t>
      </w:r>
      <w:r w:rsidR="00570270">
        <w:rPr>
          <w:rFonts w:cs="David Transparent"/>
          <w:b/>
          <w:bCs/>
        </w:rPr>
        <w:t>28707-8</w:t>
      </w:r>
      <w:r w:rsidR="001A608C">
        <w:rPr>
          <w:rFonts w:cs="David Transparent"/>
          <w:b/>
          <w:bCs/>
        </w:rPr>
        <w:t>]</w:t>
      </w:r>
    </w:p>
    <w:p w:rsidR="007063BF" w:rsidRPr="001A608C" w:rsidRDefault="007063BF" w:rsidP="001A608C">
      <w:pPr>
        <w:spacing w:line="360" w:lineRule="auto"/>
        <w:rPr>
          <w:rFonts w:cs="David Transparent"/>
          <w:szCs w:val="28"/>
          <w:rtl/>
        </w:rPr>
      </w:pPr>
      <w:r w:rsidRPr="00FC10E6">
        <w:rPr>
          <w:rFonts w:cs="David Transparent" w:hint="cs"/>
          <w:b/>
          <w:bCs/>
          <w:rtl/>
        </w:rPr>
        <w:t>שם בעל הרישום:</w:t>
      </w:r>
      <w:r w:rsidR="001A608C">
        <w:rPr>
          <w:rFonts w:cs="David Transparent" w:hint="cs"/>
          <w:rtl/>
        </w:rPr>
        <w:tab/>
        <w:t>נוברטיס פארמה סרויסס איי ג'י</w:t>
      </w:r>
    </w:p>
    <w:p w:rsidR="000C2846" w:rsidRDefault="008E7296" w:rsidP="008E7296">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af"/>
        <w:bidiVisual/>
        <w:tblW w:w="0" w:type="auto"/>
        <w:tblLook w:val="04A0" w:firstRow="1" w:lastRow="0" w:firstColumn="1" w:lastColumn="0" w:noHBand="0" w:noVBand="1"/>
      </w:tblPr>
      <w:tblGrid>
        <w:gridCol w:w="4117"/>
      </w:tblGrid>
      <w:tr w:rsidR="008E7296" w:rsidTr="00D518D0">
        <w:trPr>
          <w:trHeight w:val="916"/>
        </w:trPr>
        <w:tc>
          <w:tcPr>
            <w:tcW w:w="4117" w:type="dxa"/>
            <w:vAlign w:val="center"/>
          </w:tcPr>
          <w:p w:rsidR="008E7296" w:rsidRPr="001A608C" w:rsidRDefault="008E7296" w:rsidP="008E7296">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8E7296" w:rsidRPr="001A608C" w:rsidRDefault="008E7296" w:rsidP="008E7296">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8E7296" w:rsidRPr="001A608C" w:rsidRDefault="008E7296" w:rsidP="008E7296">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8E7296" w:rsidRDefault="008E7296" w:rsidP="008E7296">
            <w:pPr>
              <w:rPr>
                <w:b/>
                <w:bCs/>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tc>
      </w:tr>
    </w:tbl>
    <w:p w:rsidR="00D80D0B" w:rsidRPr="008E7296" w:rsidRDefault="00D80D0B" w:rsidP="00D80D0B">
      <w:pPr>
        <w:spacing w:line="360" w:lineRule="auto"/>
        <w:ind w:left="-694" w:firstLine="551"/>
      </w:pPr>
    </w:p>
    <w:tbl>
      <w:tblPr>
        <w:bidiVisual/>
        <w:tblW w:w="1034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4111"/>
        <w:gridCol w:w="4437"/>
      </w:tblGrid>
      <w:tr w:rsidR="004224DB" w:rsidTr="00950344">
        <w:trPr>
          <w:cantSplit/>
          <w:jc w:val="center"/>
        </w:trPr>
        <w:tc>
          <w:tcPr>
            <w:tcW w:w="10347" w:type="dxa"/>
            <w:gridSpan w:val="3"/>
            <w:shd w:val="pct12" w:color="auto" w:fill="FFFFFF"/>
          </w:tcPr>
          <w:p w:rsidR="007063BF" w:rsidRDefault="007063BF">
            <w:pPr>
              <w:jc w:val="center"/>
              <w:rPr>
                <w:rFonts w:cs="David Transparent"/>
                <w:b/>
                <w:bCs/>
                <w:rtl/>
              </w:rPr>
            </w:pPr>
          </w:p>
          <w:p w:rsidR="007063BF" w:rsidRDefault="008E7296">
            <w:pPr>
              <w:jc w:val="center"/>
              <w:rPr>
                <w:rFonts w:cs="David Transparent"/>
                <w:b/>
                <w:bCs/>
                <w:rtl/>
              </w:rPr>
            </w:pPr>
            <w:r>
              <w:rPr>
                <w:rFonts w:cs="David Transparent" w:hint="cs"/>
                <w:b/>
                <w:bCs/>
                <w:rtl/>
              </w:rPr>
              <w:t>ההחמרות המבוקשות</w:t>
            </w:r>
          </w:p>
        </w:tc>
      </w:tr>
      <w:tr w:rsidR="004224DB" w:rsidTr="00FB1742">
        <w:trPr>
          <w:jc w:val="center"/>
        </w:trPr>
        <w:tc>
          <w:tcPr>
            <w:tcW w:w="1799" w:type="dxa"/>
          </w:tcPr>
          <w:p w:rsidR="004224DB" w:rsidRDefault="004224DB">
            <w:pPr>
              <w:jc w:val="center"/>
              <w:rPr>
                <w:b/>
                <w:bCs/>
                <w:rtl/>
              </w:rPr>
            </w:pPr>
          </w:p>
          <w:p w:rsidR="004224DB" w:rsidRDefault="004224DB">
            <w:pPr>
              <w:jc w:val="center"/>
              <w:rPr>
                <w:b/>
                <w:bCs/>
                <w:rtl/>
              </w:rPr>
            </w:pPr>
            <w:r>
              <w:rPr>
                <w:b/>
                <w:bCs/>
                <w:rtl/>
              </w:rPr>
              <w:t>פרק בעלון</w:t>
            </w:r>
          </w:p>
          <w:p w:rsidR="004224DB" w:rsidRDefault="004224DB">
            <w:pPr>
              <w:jc w:val="center"/>
              <w:rPr>
                <w:b/>
                <w:bCs/>
                <w:rtl/>
              </w:rPr>
            </w:pPr>
          </w:p>
        </w:tc>
        <w:tc>
          <w:tcPr>
            <w:tcW w:w="4111" w:type="dxa"/>
          </w:tcPr>
          <w:p w:rsidR="004224DB" w:rsidRDefault="004224DB">
            <w:pPr>
              <w:jc w:val="center"/>
              <w:rPr>
                <w:b/>
                <w:bCs/>
                <w:rtl/>
              </w:rPr>
            </w:pPr>
          </w:p>
          <w:p w:rsidR="004224DB" w:rsidRDefault="004224DB">
            <w:pPr>
              <w:jc w:val="center"/>
              <w:rPr>
                <w:b/>
                <w:bCs/>
                <w:rtl/>
              </w:rPr>
            </w:pPr>
            <w:r>
              <w:rPr>
                <w:b/>
                <w:bCs/>
                <w:rtl/>
              </w:rPr>
              <w:t>טקסט נוכחי</w:t>
            </w:r>
          </w:p>
        </w:tc>
        <w:tc>
          <w:tcPr>
            <w:tcW w:w="4437" w:type="dxa"/>
          </w:tcPr>
          <w:p w:rsidR="004224DB" w:rsidRDefault="004224DB">
            <w:pPr>
              <w:jc w:val="center"/>
              <w:rPr>
                <w:b/>
                <w:bCs/>
                <w:rtl/>
              </w:rPr>
            </w:pPr>
          </w:p>
          <w:p w:rsidR="004224DB" w:rsidRDefault="004224DB">
            <w:pPr>
              <w:jc w:val="center"/>
              <w:rPr>
                <w:b/>
                <w:bCs/>
                <w:rtl/>
              </w:rPr>
            </w:pPr>
            <w:r>
              <w:rPr>
                <w:b/>
                <w:bCs/>
                <w:rtl/>
              </w:rPr>
              <w:t>טקסט חדש</w:t>
            </w:r>
          </w:p>
        </w:tc>
      </w:tr>
      <w:tr w:rsidR="003D3EF9" w:rsidTr="000D21B9">
        <w:trPr>
          <w:jc w:val="center"/>
        </w:trPr>
        <w:tc>
          <w:tcPr>
            <w:tcW w:w="1799" w:type="dxa"/>
          </w:tcPr>
          <w:p w:rsidR="003D3EF9" w:rsidRDefault="003D3EF9" w:rsidP="003D3EF9">
            <w:pPr>
              <w:bidi w:val="0"/>
              <w:rPr>
                <w:b/>
                <w:bCs/>
                <w:sz w:val="22"/>
                <w:szCs w:val="22"/>
              </w:rPr>
            </w:pPr>
            <w:r w:rsidRPr="003D3EF9">
              <w:rPr>
                <w:b/>
                <w:bCs/>
                <w:sz w:val="22"/>
                <w:szCs w:val="22"/>
              </w:rPr>
              <w:t>Dosage and administration</w:t>
            </w:r>
          </w:p>
        </w:tc>
        <w:tc>
          <w:tcPr>
            <w:tcW w:w="4111" w:type="dxa"/>
          </w:tcPr>
          <w:p w:rsidR="003D3EF9" w:rsidRPr="00184809" w:rsidRDefault="003D3EF9" w:rsidP="005D12CC">
            <w:pPr>
              <w:pStyle w:val="Text"/>
              <w:spacing w:before="0" w:line="240" w:lineRule="auto"/>
              <w:jc w:val="left"/>
              <w:rPr>
                <w:rFonts w:ascii="Times New Roman" w:hAnsi="Times New Roman"/>
                <w:sz w:val="24"/>
                <w:szCs w:val="24"/>
                <w:rtl/>
              </w:rPr>
            </w:pPr>
          </w:p>
        </w:tc>
        <w:tc>
          <w:tcPr>
            <w:tcW w:w="4437" w:type="dxa"/>
          </w:tcPr>
          <w:p w:rsidR="003D3EF9" w:rsidRPr="003D3EF9" w:rsidRDefault="003D3EF9" w:rsidP="003D3EF9">
            <w:pPr>
              <w:keepNext/>
              <w:keepLines/>
              <w:bidi w:val="0"/>
              <w:spacing w:before="240" w:after="60"/>
              <w:rPr>
                <w:rFonts w:ascii="Arial" w:eastAsia="MS Gothic" w:hAnsi="Arial" w:cs="Times New Roman"/>
                <w:b/>
                <w:color w:val="0000FF"/>
                <w:sz w:val="22"/>
                <w:szCs w:val="22"/>
                <w:u w:val="single"/>
                <w:lang w:eastAsia="ja-JP" w:bidi="ar-SA"/>
              </w:rPr>
            </w:pPr>
            <w:r w:rsidRPr="003D3EF9">
              <w:rPr>
                <w:rFonts w:ascii="Arial" w:eastAsia="MS Gothic" w:hAnsi="Arial" w:cs="Times New Roman"/>
                <w:b/>
                <w:color w:val="0000FF"/>
                <w:sz w:val="22"/>
                <w:szCs w:val="22"/>
                <w:u w:val="single"/>
                <w:lang w:eastAsia="ja-JP" w:bidi="ar-SA"/>
              </w:rPr>
              <w:t>Therapeutic drug monitoring</w:t>
            </w:r>
          </w:p>
          <w:p w:rsidR="003D3EF9" w:rsidRPr="003D3EF9" w:rsidRDefault="003D3EF9" w:rsidP="003D3EF9">
            <w:pPr>
              <w:keepNext/>
              <w:keepLines/>
              <w:bidi w:val="0"/>
              <w:spacing w:before="240" w:after="60"/>
              <w:jc w:val="both"/>
              <w:rPr>
                <w:rFonts w:eastAsia="MS Mincho" w:cs="Times New Roman"/>
                <w:color w:val="0000FF"/>
                <w:szCs w:val="20"/>
                <w:u w:val="single"/>
                <w:lang w:eastAsia="ja-JP" w:bidi="ar-SA"/>
              </w:rPr>
            </w:pPr>
            <w:r w:rsidRPr="003D3EF9">
              <w:rPr>
                <w:rFonts w:eastAsia="MS Mincho" w:cs="Times New Roman"/>
                <w:color w:val="0000FF"/>
                <w:szCs w:val="20"/>
                <w:u w:val="single"/>
                <w:lang w:eastAsia="ja-JP" w:bidi="ar-SA"/>
              </w:rPr>
              <w:t xml:space="preserve">The therapeutic effect of oxcarbazepine is primarily exerted through the active metabolite 10-monohydroxy derivative (MHD) of oxcarbazepine (section 11 Clinical pharmacology). </w:t>
            </w:r>
          </w:p>
          <w:p w:rsidR="003D3EF9" w:rsidRPr="003D3EF9" w:rsidRDefault="003D3EF9" w:rsidP="003D3EF9">
            <w:pPr>
              <w:bidi w:val="0"/>
              <w:spacing w:before="120"/>
              <w:jc w:val="both"/>
              <w:rPr>
                <w:rFonts w:cs="Times New Roman"/>
                <w:color w:val="0000FF"/>
                <w:szCs w:val="20"/>
                <w:highlight w:val="yellow"/>
                <w:u w:val="single"/>
                <w:lang w:eastAsia="en-US" w:bidi="ar-SA"/>
              </w:rPr>
            </w:pPr>
            <w:r w:rsidRPr="003D3EF9">
              <w:rPr>
                <w:rFonts w:cs="Times New Roman"/>
                <w:color w:val="0000FF"/>
                <w:szCs w:val="20"/>
                <w:u w:val="single"/>
                <w:lang w:eastAsia="en-US" w:bidi="ar-SA"/>
              </w:rPr>
              <w:t xml:space="preserve">Plasma level monitoring of oxcarbazepine or MHD is not routinely warranted. </w:t>
            </w:r>
            <w:r w:rsidRPr="003D3EF9">
              <w:rPr>
                <w:rFonts w:cs="Times New Roman"/>
                <w:color w:val="0000FF"/>
                <w:szCs w:val="20"/>
                <w:highlight w:val="yellow"/>
                <w:u w:val="single"/>
                <w:lang w:eastAsia="en-US" w:bidi="ar-SA"/>
              </w:rPr>
              <w:t>However, plasma level monitoring of MHD may be considered during Trileptin therapy in order to rule out noncompliance, or in situations where an alteration in MHD clearance is to be expected, including:</w:t>
            </w:r>
          </w:p>
          <w:p w:rsidR="003D3EF9" w:rsidRPr="003D3EF9" w:rsidRDefault="003D3EF9" w:rsidP="003D3EF9">
            <w:pPr>
              <w:keepLines/>
              <w:numPr>
                <w:ilvl w:val="0"/>
                <w:numId w:val="45"/>
              </w:numPr>
              <w:bidi w:val="0"/>
              <w:spacing w:before="120"/>
              <w:ind w:left="0" w:firstLine="0"/>
              <w:jc w:val="both"/>
              <w:rPr>
                <w:rFonts w:cs="Times New Roman"/>
                <w:color w:val="0000FF"/>
                <w:szCs w:val="20"/>
                <w:highlight w:val="yellow"/>
                <w:u w:val="single"/>
                <w:lang w:eastAsia="en-US" w:bidi="ar-SA"/>
              </w:rPr>
            </w:pPr>
            <w:r w:rsidRPr="003D3EF9">
              <w:rPr>
                <w:rFonts w:cs="Times New Roman"/>
                <w:color w:val="0000FF"/>
                <w:szCs w:val="20"/>
                <w:highlight w:val="yellow"/>
                <w:u w:val="single"/>
                <w:lang w:eastAsia="en-US" w:bidi="ar-SA"/>
              </w:rPr>
              <w:t>changes in renal function (see section Dosage in renal impairment)</w:t>
            </w:r>
          </w:p>
          <w:p w:rsidR="003D3EF9" w:rsidRPr="003D3EF9" w:rsidRDefault="003D3EF9" w:rsidP="003D3EF9">
            <w:pPr>
              <w:keepLines/>
              <w:numPr>
                <w:ilvl w:val="0"/>
                <w:numId w:val="45"/>
              </w:numPr>
              <w:bidi w:val="0"/>
              <w:spacing w:before="120"/>
              <w:ind w:left="0" w:firstLine="0"/>
              <w:jc w:val="both"/>
              <w:rPr>
                <w:rFonts w:cs="Times New Roman"/>
                <w:color w:val="0000FF"/>
                <w:szCs w:val="20"/>
                <w:highlight w:val="yellow"/>
                <w:u w:val="single"/>
                <w:lang w:eastAsia="en-US" w:bidi="ar-SA"/>
              </w:rPr>
            </w:pPr>
            <w:r w:rsidRPr="003D3EF9">
              <w:rPr>
                <w:rFonts w:cs="Times New Roman"/>
                <w:color w:val="0000FF"/>
                <w:szCs w:val="20"/>
                <w:highlight w:val="yellow"/>
                <w:u w:val="single"/>
                <w:lang w:eastAsia="en-US" w:bidi="ar-SA"/>
              </w:rPr>
              <w:t>pregnancy (see Section 9 WOCBP, pregnancy, breast feeding and fertility and section 11 Clinical Pharmacology)</w:t>
            </w:r>
          </w:p>
          <w:p w:rsidR="003D3EF9" w:rsidRPr="003D3EF9" w:rsidRDefault="003D3EF9" w:rsidP="003D3EF9">
            <w:pPr>
              <w:keepLines/>
              <w:numPr>
                <w:ilvl w:val="0"/>
                <w:numId w:val="45"/>
              </w:numPr>
              <w:bidi w:val="0"/>
              <w:spacing w:before="120"/>
              <w:ind w:left="0" w:firstLine="0"/>
              <w:jc w:val="both"/>
              <w:rPr>
                <w:rFonts w:cs="Times New Roman"/>
                <w:color w:val="0000FF"/>
                <w:szCs w:val="20"/>
                <w:highlight w:val="yellow"/>
                <w:u w:val="single"/>
                <w:lang w:eastAsia="en-US" w:bidi="ar-SA"/>
              </w:rPr>
            </w:pPr>
            <w:r w:rsidRPr="003D3EF9">
              <w:rPr>
                <w:rFonts w:cs="Times New Roman"/>
                <w:color w:val="0000FF"/>
                <w:szCs w:val="20"/>
                <w:highlight w:val="yellow"/>
                <w:u w:val="single"/>
                <w:lang w:eastAsia="en-US" w:bidi="ar-SA"/>
              </w:rPr>
              <w:t xml:space="preserve">concomitant use of liver enzyme-inducing drugs (see section 8 </w:t>
            </w:r>
            <w:r w:rsidRPr="003D3EF9">
              <w:rPr>
                <w:rFonts w:cs="Times New Roman"/>
                <w:noProof/>
                <w:color w:val="0000FF"/>
                <w:szCs w:val="20"/>
                <w:highlight w:val="yellow"/>
                <w:u w:val="single"/>
                <w:lang w:eastAsia="en-US" w:bidi="ar-SA"/>
              </w:rPr>
              <w:t>Interactions</w:t>
            </w:r>
            <w:r w:rsidRPr="003D3EF9">
              <w:rPr>
                <w:rFonts w:cs="Times New Roman"/>
                <w:color w:val="0000FF"/>
                <w:szCs w:val="20"/>
                <w:highlight w:val="yellow"/>
                <w:u w:val="single"/>
                <w:lang w:eastAsia="en-US" w:bidi="ar-SA"/>
              </w:rPr>
              <w:t>)</w:t>
            </w:r>
          </w:p>
          <w:p w:rsidR="003D3EF9" w:rsidRPr="003D3EF9" w:rsidRDefault="003D3EF9" w:rsidP="003D3EF9">
            <w:pPr>
              <w:bidi w:val="0"/>
              <w:spacing w:before="120"/>
              <w:jc w:val="both"/>
              <w:rPr>
                <w:rFonts w:eastAsia="MS Mincho" w:cs="Times New Roman"/>
                <w:color w:val="0000FF"/>
                <w:szCs w:val="20"/>
                <w:u w:val="single"/>
                <w:lang w:eastAsia="ja-JP" w:bidi="ar-SA"/>
              </w:rPr>
            </w:pPr>
            <w:r w:rsidRPr="003D3EF9">
              <w:rPr>
                <w:rFonts w:cs="Times New Roman"/>
                <w:color w:val="0000FF"/>
                <w:szCs w:val="20"/>
                <w:highlight w:val="yellow"/>
                <w:u w:val="single"/>
                <w:lang w:eastAsia="en-US" w:bidi="ar-SA"/>
              </w:rPr>
              <w:t>If any of these situations apply, the dose of Trileptin may be adjusted (based on plasma levels measured 2-4 hours post dose) to maintain peak MHD plasma levels &lt; 35 mg/L.</w:t>
            </w:r>
          </w:p>
          <w:p w:rsidR="003D3EF9" w:rsidRPr="003D3EF9" w:rsidRDefault="003D3EF9" w:rsidP="00D93FF9">
            <w:pPr>
              <w:bidi w:val="0"/>
              <w:spacing w:before="120"/>
              <w:ind w:right="-9"/>
              <w:rPr>
                <w:rFonts w:cs="Times New Roman"/>
                <w:b/>
                <w:color w:val="0000FF"/>
                <w:highlight w:val="yellow"/>
                <w:u w:val="single"/>
                <w:lang w:eastAsia="en-US" w:bidi="ar-SA"/>
              </w:rPr>
            </w:pPr>
          </w:p>
        </w:tc>
      </w:tr>
      <w:tr w:rsidR="00D93FF9" w:rsidTr="000D21B9">
        <w:trPr>
          <w:jc w:val="center"/>
        </w:trPr>
        <w:tc>
          <w:tcPr>
            <w:tcW w:w="1799" w:type="dxa"/>
          </w:tcPr>
          <w:p w:rsidR="00D93FF9" w:rsidRDefault="003D3EF9" w:rsidP="003D3EF9">
            <w:pPr>
              <w:bidi w:val="0"/>
              <w:rPr>
                <w:b/>
                <w:bCs/>
                <w:lang w:val="en-GB"/>
              </w:rPr>
            </w:pPr>
            <w:r>
              <w:rPr>
                <w:b/>
                <w:bCs/>
                <w:sz w:val="22"/>
                <w:szCs w:val="22"/>
              </w:rPr>
              <w:t>W</w:t>
            </w:r>
            <w:r w:rsidR="00D93FF9">
              <w:rPr>
                <w:b/>
                <w:bCs/>
                <w:sz w:val="22"/>
                <w:szCs w:val="22"/>
              </w:rPr>
              <w:t>arnings and precautions</w:t>
            </w:r>
          </w:p>
        </w:tc>
        <w:tc>
          <w:tcPr>
            <w:tcW w:w="4111" w:type="dxa"/>
          </w:tcPr>
          <w:p w:rsidR="00D93FF9" w:rsidRDefault="00D93FF9"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Default="00E330F6" w:rsidP="005D12CC">
            <w:pPr>
              <w:pStyle w:val="Text"/>
              <w:spacing w:before="0" w:line="240" w:lineRule="auto"/>
              <w:jc w:val="left"/>
              <w:rPr>
                <w:rFonts w:ascii="Times New Roman" w:hAnsi="Times New Roman"/>
                <w:sz w:val="24"/>
                <w:szCs w:val="24"/>
              </w:rPr>
            </w:pPr>
          </w:p>
          <w:p w:rsidR="00E330F6" w:rsidRPr="00E330F6" w:rsidRDefault="00E330F6" w:rsidP="00E330F6">
            <w:pPr>
              <w:keepNext/>
              <w:keepLines/>
              <w:bidi w:val="0"/>
              <w:spacing w:before="240" w:after="60"/>
              <w:ind w:left="34"/>
              <w:outlineLvl w:val="1"/>
              <w:rPr>
                <w:rFonts w:ascii="Arial" w:hAnsi="Arial" w:cs="Arial"/>
                <w:b/>
                <w:lang w:eastAsia="en-US" w:bidi="ar-SA"/>
              </w:rPr>
            </w:pPr>
            <w:r w:rsidRPr="00E330F6">
              <w:rPr>
                <w:rFonts w:ascii="Arial" w:hAnsi="Arial" w:cs="Arial"/>
                <w:b/>
                <w:lang w:eastAsia="en-US" w:bidi="ar-SA"/>
              </w:rPr>
              <w:t>4.7</w:t>
            </w:r>
            <w:r w:rsidRPr="00E330F6">
              <w:rPr>
                <w:rFonts w:ascii="Arial" w:hAnsi="Arial" w:cs="Arial"/>
                <w:b/>
                <w:lang w:eastAsia="en-US" w:bidi="ar-SA"/>
              </w:rPr>
              <w:tab/>
              <w:t>Effects on ability to drive and use machines</w:t>
            </w:r>
          </w:p>
          <w:p w:rsidR="00E330F6" w:rsidRPr="00E330F6" w:rsidRDefault="00E330F6" w:rsidP="00E330F6">
            <w:pPr>
              <w:bidi w:val="0"/>
              <w:spacing w:before="120"/>
              <w:ind w:left="34"/>
              <w:rPr>
                <w:rFonts w:cs="Times New Roman"/>
                <w:szCs w:val="20"/>
                <w:lang w:eastAsia="en-US" w:bidi="ar-SA"/>
              </w:rPr>
            </w:pPr>
            <w:r w:rsidRPr="00E330F6">
              <w:rPr>
                <w:rFonts w:cs="Times New Roman"/>
                <w:lang w:eastAsia="en-US" w:bidi="ar-SA"/>
              </w:rPr>
              <w:t>The use of Trileptin has been associated with adverse reactions such as dizziness or somnolence (see se</w:t>
            </w:r>
            <w:r>
              <w:rPr>
                <w:rFonts w:cs="Times New Roman"/>
                <w:lang w:eastAsia="en-US" w:bidi="ar-SA"/>
              </w:rPr>
              <w:t xml:space="preserve">ction 4.8 Undesirable effects). </w:t>
            </w:r>
            <w:r w:rsidRPr="00E330F6">
              <w:rPr>
                <w:rFonts w:cs="Times New Roman"/>
                <w:lang w:eastAsia="en-US" w:bidi="ar-SA"/>
              </w:rPr>
              <w:t>Therefore, patients should be advised that their physical and/or mental abilities required for operating machinery or driving a car might be impaired.</w:t>
            </w:r>
          </w:p>
          <w:p w:rsidR="00E330F6" w:rsidRPr="00E330F6" w:rsidRDefault="00E330F6" w:rsidP="005D12CC">
            <w:pPr>
              <w:pStyle w:val="Text"/>
              <w:spacing w:before="0" w:line="240" w:lineRule="auto"/>
              <w:jc w:val="left"/>
              <w:rPr>
                <w:rFonts w:ascii="Times New Roman" w:hAnsi="Times New Roman"/>
                <w:sz w:val="24"/>
                <w:szCs w:val="24"/>
                <w:rtl/>
                <w:lang w:val="en-US"/>
              </w:rPr>
            </w:pPr>
          </w:p>
        </w:tc>
        <w:tc>
          <w:tcPr>
            <w:tcW w:w="4437" w:type="dxa"/>
          </w:tcPr>
          <w:p w:rsidR="008A44D2" w:rsidRPr="008A44D2" w:rsidRDefault="008A44D2" w:rsidP="008A44D2">
            <w:pPr>
              <w:keepNext/>
              <w:keepLines/>
              <w:bidi w:val="0"/>
              <w:spacing w:before="120"/>
              <w:jc w:val="both"/>
              <w:rPr>
                <w:rFonts w:ascii="Arial" w:hAnsi="Arial" w:cs="Arial"/>
                <w:b/>
                <w:color w:val="0000FF"/>
                <w:sz w:val="22"/>
                <w:szCs w:val="22"/>
                <w:u w:val="single"/>
                <w:lang w:eastAsia="en-US" w:bidi="ar-SA"/>
              </w:rPr>
            </w:pPr>
            <w:r w:rsidRPr="008A44D2">
              <w:rPr>
                <w:rFonts w:ascii="Arial" w:hAnsi="Arial" w:cs="Arial"/>
                <w:b/>
                <w:color w:val="0000FF"/>
                <w:sz w:val="22"/>
                <w:szCs w:val="22"/>
                <w:u w:val="single"/>
                <w:lang w:eastAsia="en-US" w:bidi="ar-SA"/>
              </w:rPr>
              <w:lastRenderedPageBreak/>
              <w:t>Pharmacogenomics</w:t>
            </w:r>
          </w:p>
          <w:p w:rsidR="008A44D2" w:rsidRPr="008A44D2" w:rsidRDefault="008A44D2" w:rsidP="008A44D2">
            <w:pPr>
              <w:bidi w:val="0"/>
              <w:spacing w:before="120"/>
              <w:ind w:right="709"/>
              <w:jc w:val="both"/>
              <w:rPr>
                <w:rFonts w:cs="Times New Roman"/>
                <w:color w:val="0000FF"/>
                <w:highlight w:val="yellow"/>
                <w:u w:val="single"/>
                <w:lang w:val="en-GB" w:eastAsia="en-US" w:bidi="ar-SA"/>
              </w:rPr>
            </w:pPr>
            <w:r w:rsidRPr="008A44D2">
              <w:rPr>
                <w:rFonts w:cs="Times New Roman"/>
                <w:color w:val="0000FF"/>
                <w:highlight w:val="yellow"/>
                <w:u w:val="single"/>
                <w:lang w:val="en-GB" w:eastAsia="en-US" w:bidi="ar-SA"/>
              </w:rPr>
              <w:t xml:space="preserve">There is growing evidence that different Human Leukocyte Antigen </w:t>
            </w:r>
            <w:r w:rsidRPr="008A44D2">
              <w:rPr>
                <w:rFonts w:cs="Times New Roman"/>
                <w:color w:val="0000FF"/>
                <w:highlight w:val="yellow"/>
                <w:u w:val="single"/>
                <w:lang w:val="en-GB" w:eastAsia="en-US" w:bidi="ar-SA"/>
              </w:rPr>
              <w:lastRenderedPageBreak/>
              <w:t>(HLA) alleles play a role in association with adverse cutaneous reactions in predisposed patients.</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b/>
                <w:color w:val="0000FF"/>
                <w:highlight w:val="yellow"/>
                <w:u w:val="single"/>
                <w:lang w:val="en-GB" w:eastAsia="en-US" w:bidi="ar-SA"/>
              </w:rPr>
              <w:t>Association with HLA-B*1502</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color w:val="0000FF"/>
                <w:highlight w:val="yellow"/>
                <w:u w:val="single"/>
                <w:lang w:val="en-GB" w:eastAsia="en-US" w:bidi="ar-SA"/>
              </w:rPr>
              <w:t xml:space="preserve">There is growing evidence that different Human Leukocyte Antigen (HLA) alleles play a role in association with adverse cutaneous reactions in predisposed patients. As the chemical structure of oxcarbazepine is similar to that of carbamazepine, there is a possibility that </w:t>
            </w:r>
            <w:proofErr w:type="gramStart"/>
            <w:r>
              <w:rPr>
                <w:rFonts w:cs="Times New Roman"/>
                <w:color w:val="0000FF"/>
                <w:highlight w:val="yellow"/>
                <w:u w:val="single"/>
                <w:lang w:val="en-GB" w:eastAsia="en-US" w:bidi="ar-SA"/>
              </w:rPr>
              <w:t>patients</w:t>
            </w:r>
            <w:proofErr w:type="gramEnd"/>
            <w:r>
              <w:rPr>
                <w:rFonts w:cs="Times New Roman"/>
                <w:color w:val="0000FF"/>
                <w:highlight w:val="yellow"/>
                <w:u w:val="single"/>
                <w:lang w:val="en-GB" w:eastAsia="en-US" w:bidi="ar-SA"/>
              </w:rPr>
              <w:t xml:space="preserve"> carrying the HLA-B*1502 allele also have an increased risk of SJS/TEN skin reactions with oxcarbazepine. </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color w:val="0000FF"/>
                <w:highlight w:val="yellow"/>
                <w:u w:val="single"/>
                <w:lang w:val="en-GB" w:eastAsia="en-US" w:bidi="ar-SA"/>
              </w:rPr>
              <w:t>The frequency of HLA-B*1502 allele ranges from 2 to 12% in Han Chinese populations and is about 8% in Thai populations, and above 15% in the Philippines and some Malaysian populations. Allele frequencies up to about 2% and 6% have been reported in Korea and India, respectively. The frequency of the HLA-B*1502 allele is negligible in persons from European descent, several African populations, i</w:t>
            </w:r>
            <w:proofErr w:type="spellStart"/>
            <w:r>
              <w:rPr>
                <w:rFonts w:cs="Times New Roman"/>
                <w:color w:val="0000FF"/>
                <w:highlight w:val="yellow"/>
                <w:u w:val="single"/>
                <w:lang w:val="en" w:eastAsia="en-US" w:bidi="ar-SA"/>
              </w:rPr>
              <w:t>ndigenous</w:t>
            </w:r>
            <w:proofErr w:type="spellEnd"/>
            <w:r>
              <w:rPr>
                <w:rFonts w:cs="Times New Roman"/>
                <w:color w:val="0000FF"/>
                <w:highlight w:val="yellow"/>
                <w:u w:val="single"/>
                <w:lang w:val="en" w:eastAsia="en-US" w:bidi="ar-SA"/>
              </w:rPr>
              <w:t xml:space="preserve"> peoples</w:t>
            </w:r>
            <w:r>
              <w:rPr>
                <w:rFonts w:cs="Times New Roman"/>
                <w:color w:val="0000FF"/>
                <w:highlight w:val="yellow"/>
                <w:u w:val="single"/>
                <w:lang w:val="en-GB" w:eastAsia="en-US" w:bidi="ar-SA"/>
              </w:rPr>
              <w:t xml:space="preserve"> of the Americas, Hispanic populations sampled and in Japanese (&lt; 1%). </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bCs/>
                <w:color w:val="0000FF"/>
                <w:highlight w:val="yellow"/>
                <w:u w:val="single"/>
                <w:lang w:val="en-GB" w:eastAsia="en-US" w:bidi="ar-SA"/>
              </w:rPr>
              <w:t>The allele frequencies listed here represent the percentage of chromosomes in the specified population that carry the allele of interest, meaning that the percentage of patients who carry a copy of the allele on at least one of their two chromosomes (i.e., the “carrier frequency”) is nearly twice as high as the allele frequency. Therefore, the percentage of patients who may be at risk is nearly twice the allele frequency.</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color w:val="0000FF"/>
                <w:highlight w:val="yellow"/>
                <w:u w:val="single"/>
                <w:lang w:val="en-GB" w:eastAsia="en-US" w:bidi="ar-SA"/>
              </w:rPr>
              <w:t xml:space="preserve">Testing for the presence of the HLA-B*1502 allele should be considered in patients with ancestry in genetically at-risk populations, prior to initiating treatment with Trileptin. The use of Trileptin should be avoided in tested patients who are found to be positive for HLA-B*1502 unless the benefits clearly outweigh the risks. HLA-B*1502 may be a risk factor for the development of SJS/TEN in Chinese patients taking other anti-epileptic drugs (AED) associated with SJS/TEN. Consideration should therefore be given to avoid use of other drugs associated with SJS/TEN in HLA-B*1502 positive patients, </w:t>
            </w:r>
            <w:r>
              <w:rPr>
                <w:rFonts w:cs="Times New Roman"/>
                <w:color w:val="0000FF"/>
                <w:highlight w:val="yellow"/>
                <w:u w:val="single"/>
                <w:lang w:val="en-GB" w:eastAsia="en-US" w:bidi="ar-SA"/>
              </w:rPr>
              <w:lastRenderedPageBreak/>
              <w:t>when alternative therapies are otherwise equally acceptable. Screening is not generally recommended in patients from populations in which the prevalence of HLA-B*1502 is low or in current Trileptin users, as the risk of SJS/TEN is largely confined to the first few months of therapy, regardless of HLA</w:t>
            </w:r>
            <w:r>
              <w:rPr>
                <w:rFonts w:cs="Times New Roman"/>
                <w:color w:val="0000FF"/>
                <w:highlight w:val="yellow"/>
                <w:u w:val="single"/>
                <w:lang w:val="en-GB" w:eastAsia="en-US" w:bidi="ar-SA"/>
              </w:rPr>
              <w:noBreakHyphen/>
              <w:t>B*1502 status.</w:t>
            </w:r>
          </w:p>
          <w:p w:rsidR="00D93FF9" w:rsidRDefault="00D93FF9" w:rsidP="00D93FF9">
            <w:pPr>
              <w:bidi w:val="0"/>
              <w:spacing w:before="120"/>
              <w:ind w:right="-9"/>
              <w:rPr>
                <w:rFonts w:cs="Times New Roman"/>
                <w:b/>
                <w:color w:val="0000FF"/>
                <w:highlight w:val="yellow"/>
                <w:u w:val="single"/>
                <w:lang w:val="en-GB" w:eastAsia="en-US" w:bidi="ar-SA"/>
              </w:rPr>
            </w:pPr>
            <w:r>
              <w:rPr>
                <w:rFonts w:cs="Times New Roman"/>
                <w:b/>
                <w:color w:val="0000FF"/>
                <w:highlight w:val="yellow"/>
                <w:u w:val="single"/>
                <w:lang w:val="en-GB" w:eastAsia="en-US" w:bidi="ar-SA"/>
              </w:rPr>
              <w:t>Association with HLA-A*3101</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color w:val="0000FF"/>
                <w:highlight w:val="yellow"/>
                <w:u w:val="single"/>
                <w:lang w:val="en-GB" w:eastAsia="en-US" w:bidi="ar-SA"/>
              </w:rPr>
              <w:t xml:space="preserve">Human Leukocyte Antigen (HLA)-A*3101 may be a risk factor for the development of cutaneous adverse drug reactions such as SJS, TEN, DRESS, AGEP and maculopapular rash. </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color w:val="0000FF"/>
                <w:highlight w:val="yellow"/>
                <w:u w:val="single"/>
                <w:lang w:val="en-GB" w:eastAsia="en-US" w:bidi="ar-SA"/>
              </w:rPr>
              <w:t xml:space="preserve">The frequency of the HLA-A*3101 allele varies widely between ethnic populations and its frequency is about 2 to 5% in European populations and is about 10% in the Japanese population. The frequency of this allele is estimated to be less than 5% in the majority of Australian, Asian, African and North American populations with some exceptions within 5 to 12%. Frequency above 15% has been estimated in some ethnic groups in South America (Argentina and Brazil), North America (US Navajo and Sioux, and Mexico Sonora Seri) and Southern India (Tamil Nadu) and </w:t>
            </w:r>
            <w:proofErr w:type="gramStart"/>
            <w:r>
              <w:rPr>
                <w:rFonts w:cs="Times New Roman"/>
                <w:color w:val="0000FF"/>
                <w:highlight w:val="yellow"/>
                <w:u w:val="single"/>
                <w:lang w:val="en-GB" w:eastAsia="en-US" w:bidi="ar-SA"/>
              </w:rPr>
              <w:t>between 10% to 15% in other native ethnicities in these same regions</w:t>
            </w:r>
            <w:proofErr w:type="gramEnd"/>
            <w:r>
              <w:rPr>
                <w:rFonts w:cs="Times New Roman"/>
                <w:color w:val="0000FF"/>
                <w:highlight w:val="yellow"/>
                <w:u w:val="single"/>
                <w:lang w:val="en-GB" w:eastAsia="en-US" w:bidi="ar-SA"/>
              </w:rPr>
              <w:t>.</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bCs/>
                <w:color w:val="0000FF"/>
                <w:highlight w:val="yellow"/>
                <w:u w:val="single"/>
                <w:lang w:val="en-GB" w:eastAsia="en-US" w:bidi="ar-SA"/>
              </w:rPr>
              <w:t>The allele frequencies listed here represent the percentage of chromosomes in the specified population that carry the allele of interest, meaning that the percentage of patients who carry a copy of the allele on at least one of their two chromosomes (i.e., the “carrier frequency”) is nearly twice as high as the allele frequency. Therefore, the percentage of patients who may be at risk is nearly twice the allele frequency.</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color w:val="0000FF"/>
                <w:highlight w:val="yellow"/>
                <w:u w:val="single"/>
                <w:lang w:val="en-GB" w:eastAsia="en-US" w:bidi="ar-SA"/>
              </w:rPr>
              <w:t xml:space="preserve">There is some data that suggest HLA-A*3101 is associated with an increased risk of carbamazepine-induced cutaneous adverse drug reactions including SJS, TEN, Drug rash with eosinophilia (DRESS), or less severe acute generalized </w:t>
            </w:r>
            <w:proofErr w:type="spellStart"/>
            <w:r>
              <w:rPr>
                <w:rFonts w:cs="Times New Roman"/>
                <w:color w:val="0000FF"/>
                <w:highlight w:val="yellow"/>
                <w:u w:val="single"/>
                <w:lang w:val="en-GB" w:eastAsia="en-US" w:bidi="ar-SA"/>
              </w:rPr>
              <w:t>exanthematous</w:t>
            </w:r>
            <w:proofErr w:type="spellEnd"/>
            <w:r>
              <w:rPr>
                <w:rFonts w:cs="Times New Roman"/>
                <w:color w:val="0000FF"/>
                <w:highlight w:val="yellow"/>
                <w:u w:val="single"/>
                <w:lang w:val="en-GB" w:eastAsia="en-US" w:bidi="ar-SA"/>
              </w:rPr>
              <w:t xml:space="preserve"> </w:t>
            </w:r>
            <w:proofErr w:type="spellStart"/>
            <w:r>
              <w:rPr>
                <w:rFonts w:cs="Times New Roman"/>
                <w:color w:val="0000FF"/>
                <w:highlight w:val="yellow"/>
                <w:u w:val="single"/>
                <w:lang w:val="en-GB" w:eastAsia="en-US" w:bidi="ar-SA"/>
              </w:rPr>
              <w:t>pustulosis</w:t>
            </w:r>
            <w:proofErr w:type="spellEnd"/>
            <w:r>
              <w:rPr>
                <w:rFonts w:cs="Times New Roman"/>
                <w:color w:val="0000FF"/>
                <w:highlight w:val="yellow"/>
                <w:u w:val="single"/>
                <w:lang w:val="en-GB" w:eastAsia="en-US" w:bidi="ar-SA"/>
              </w:rPr>
              <w:t xml:space="preserve"> (AGEP) and maculopapular rash. </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color w:val="0000FF"/>
                <w:highlight w:val="yellow"/>
                <w:u w:val="single"/>
                <w:lang w:val="en-GB" w:eastAsia="en-US" w:bidi="ar-SA"/>
              </w:rPr>
              <w:t>There are insufficient data to support a recommendation for testing the presence of HLA</w:t>
            </w:r>
            <w:r>
              <w:rPr>
                <w:rFonts w:cs="Times New Roman"/>
                <w:color w:val="0000FF"/>
                <w:highlight w:val="yellow"/>
                <w:u w:val="single"/>
                <w:lang w:val="en-GB" w:eastAsia="en-US" w:bidi="ar-SA"/>
              </w:rPr>
              <w:noBreakHyphen/>
              <w:t xml:space="preserve">A*3101 allele in patients, prior to </w:t>
            </w:r>
            <w:r>
              <w:rPr>
                <w:rFonts w:cs="Times New Roman"/>
                <w:color w:val="0000FF"/>
                <w:highlight w:val="yellow"/>
                <w:u w:val="single"/>
                <w:lang w:val="en-GB" w:eastAsia="en-US" w:bidi="ar-SA"/>
              </w:rPr>
              <w:lastRenderedPageBreak/>
              <w:t xml:space="preserve">initiating treatment with oxcarbazepine. Genetic screening is generally not recommended for any current Trileptin users, as the risk of SJS/TEN, AGEP, DRESS and maculopapular rash is largely confined to the first few months of therapy, regardless of HLA-A*3101 status. </w:t>
            </w:r>
          </w:p>
          <w:p w:rsidR="00D93FF9" w:rsidRDefault="00D93FF9" w:rsidP="00D93FF9">
            <w:pPr>
              <w:bidi w:val="0"/>
              <w:spacing w:before="120"/>
              <w:ind w:right="-9"/>
              <w:rPr>
                <w:rFonts w:cs="Times New Roman"/>
                <w:b/>
                <w:color w:val="0000FF"/>
                <w:highlight w:val="yellow"/>
                <w:u w:val="single"/>
                <w:lang w:val="en-GB" w:eastAsia="en-US" w:bidi="ar-SA"/>
              </w:rPr>
            </w:pPr>
            <w:r>
              <w:rPr>
                <w:rFonts w:cs="Times New Roman"/>
                <w:b/>
                <w:color w:val="0000FF"/>
                <w:highlight w:val="yellow"/>
                <w:u w:val="single"/>
                <w:lang w:val="en-GB" w:eastAsia="en-US" w:bidi="ar-SA"/>
              </w:rPr>
              <w:t>Limitation of genetic screening</w:t>
            </w:r>
          </w:p>
          <w:p w:rsidR="00D93FF9" w:rsidRDefault="00D93FF9" w:rsidP="00D93FF9">
            <w:pPr>
              <w:bidi w:val="0"/>
              <w:spacing w:before="120"/>
              <w:ind w:right="-9"/>
              <w:rPr>
                <w:rFonts w:cs="Times New Roman"/>
                <w:color w:val="0000FF"/>
                <w:highlight w:val="yellow"/>
                <w:u w:val="single"/>
                <w:lang w:val="en-GB" w:eastAsia="en-US" w:bidi="ar-SA"/>
              </w:rPr>
            </w:pPr>
            <w:r>
              <w:rPr>
                <w:rFonts w:cs="Times New Roman"/>
                <w:color w:val="0000FF"/>
                <w:highlight w:val="yellow"/>
                <w:u w:val="single"/>
                <w:lang w:val="en-GB" w:eastAsia="en-US" w:bidi="ar-SA"/>
              </w:rPr>
              <w:t>Genetic screening results must never substitute for appropriate clinical vigilance and patient management. Many Asian patients positive for HLA-B*1502 and treated with Trileptin will not develop SJS/TEN and patients negative for HLA-B*1502 of any ethnicity can still develop SJS/TEN. Similarly many patients positive for HLA-A*3101 and treated with Trileptin will not develop SJS, TEN, DRESS, AGEP or maculopapular rash and patients negative for HLA-A*3101 of any ethnicity can still develop these severe cutaneous adverse reactions. The role of other possible factors in the development of, and morbidity from, these severe cutaneous adverse reactions, such as AED dose, compliance, concomitant medications, co-morbidities, and the level of dermatologic monitoring have not been studied.</w:t>
            </w:r>
          </w:p>
          <w:p w:rsidR="00D93FF9" w:rsidRDefault="00D93FF9" w:rsidP="00D93FF9">
            <w:pPr>
              <w:bidi w:val="0"/>
              <w:spacing w:before="120"/>
              <w:ind w:right="-9"/>
              <w:rPr>
                <w:rFonts w:cs="Times New Roman"/>
                <w:b/>
                <w:color w:val="0000FF"/>
                <w:highlight w:val="yellow"/>
                <w:u w:val="single"/>
                <w:lang w:val="en-GB" w:eastAsia="en-US" w:bidi="ar-SA"/>
              </w:rPr>
            </w:pPr>
            <w:r>
              <w:rPr>
                <w:rFonts w:cs="Times New Roman"/>
                <w:b/>
                <w:color w:val="0000FF"/>
                <w:highlight w:val="yellow"/>
                <w:u w:val="single"/>
                <w:lang w:val="en-GB" w:eastAsia="en-US" w:bidi="ar-SA"/>
              </w:rPr>
              <w:t>Information for the healthcare professionals</w:t>
            </w:r>
          </w:p>
          <w:p w:rsidR="00D93FF9" w:rsidRDefault="00D93FF9" w:rsidP="008A44D2">
            <w:pPr>
              <w:bidi w:val="0"/>
              <w:spacing w:before="120"/>
              <w:ind w:right="-9"/>
              <w:rPr>
                <w:rFonts w:cs="Times New Roman"/>
                <w:lang w:val="en-GB" w:eastAsia="en-US" w:bidi="ar-SA"/>
              </w:rPr>
            </w:pPr>
            <w:r>
              <w:rPr>
                <w:rFonts w:cs="Times New Roman"/>
                <w:color w:val="0000FF"/>
                <w:highlight w:val="yellow"/>
                <w:u w:val="single"/>
                <w:lang w:val="en-GB" w:eastAsia="en-US" w:bidi="ar-SA"/>
              </w:rPr>
              <w:t>If testing for the presence of the HLA-B*1502 allele is performed, high-resolution “HLA</w:t>
            </w:r>
            <w:r>
              <w:rPr>
                <w:rFonts w:cs="Times New Roman"/>
                <w:color w:val="0000FF"/>
                <w:highlight w:val="yellow"/>
                <w:u w:val="single"/>
                <w:lang w:val="en-GB" w:eastAsia="en-US" w:bidi="ar-SA"/>
              </w:rPr>
              <w:noBreakHyphen/>
              <w:t>B*1502 genotyping” is recommended. The test is positive if either one or two HLA-B*1502 alleles are detected and negative if no HLA-B*1502 alleles are detected. Similarly if testing for the presence of the HLA-A*3101 allele is performed, high resolution “HLA</w:t>
            </w:r>
            <w:r>
              <w:rPr>
                <w:rFonts w:cs="Times New Roman"/>
                <w:color w:val="0000FF"/>
                <w:highlight w:val="yellow"/>
                <w:u w:val="single"/>
                <w:lang w:val="en-GB" w:eastAsia="en-US" w:bidi="ar-SA"/>
              </w:rPr>
              <w:noBreakHyphen/>
              <w:t>A*3101 genotyping” respectively is recommended. The test is positive if either one or two HLA-A*3101 alleles are detected and negative if no HLA-A*3101 alleles are detected.</w:t>
            </w:r>
          </w:p>
          <w:p w:rsidR="008A44D2" w:rsidRPr="008A44D2" w:rsidRDefault="008A44D2" w:rsidP="00EC3B6C">
            <w:pPr>
              <w:keepNext/>
              <w:keepLines/>
              <w:bidi w:val="0"/>
              <w:spacing w:before="240" w:after="60"/>
              <w:ind w:left="1701" w:right="-9" w:hanging="1701"/>
              <w:rPr>
                <w:rFonts w:ascii="Arial" w:hAnsi="Arial" w:cs="Times New Roman"/>
                <w:b/>
                <w:color w:val="0000FF"/>
                <w:sz w:val="22"/>
                <w:szCs w:val="20"/>
                <w:highlight w:val="yellow"/>
                <w:u w:val="single"/>
                <w:lang w:val="en-GB" w:eastAsia="en-US" w:bidi="ar-SA"/>
              </w:rPr>
            </w:pPr>
            <w:r w:rsidRPr="008A44D2">
              <w:rPr>
                <w:rFonts w:ascii="Arial" w:hAnsi="Arial" w:cs="Times New Roman"/>
                <w:b/>
                <w:color w:val="0000FF"/>
                <w:sz w:val="22"/>
                <w:szCs w:val="20"/>
                <w:highlight w:val="yellow"/>
                <w:u w:val="single"/>
                <w:lang w:val="en-GB" w:eastAsia="en-US" w:bidi="ar-SA"/>
              </w:rPr>
              <w:t>Risk of seizure aggravation</w:t>
            </w:r>
          </w:p>
          <w:p w:rsidR="008A44D2" w:rsidRDefault="008A44D2" w:rsidP="00EC3B6C">
            <w:pPr>
              <w:keepNext/>
              <w:keepLines/>
              <w:bidi w:val="0"/>
              <w:spacing w:before="120"/>
              <w:ind w:right="-9"/>
              <w:jc w:val="both"/>
              <w:rPr>
                <w:rFonts w:cs="Times New Roman"/>
                <w:color w:val="0000FF"/>
                <w:szCs w:val="20"/>
                <w:u w:val="single"/>
                <w:lang w:eastAsia="en-US" w:bidi="ar-SA"/>
              </w:rPr>
            </w:pPr>
            <w:r w:rsidRPr="008A44D2">
              <w:rPr>
                <w:rFonts w:cs="Times New Roman"/>
                <w:color w:val="0000FF"/>
                <w:szCs w:val="20"/>
                <w:highlight w:val="yellow"/>
                <w:u w:val="single"/>
                <w:lang w:eastAsia="en-US" w:bidi="ar-SA"/>
              </w:rPr>
              <w:t>Risk of seizure aggravation has been reported with Trileptin. The risk of seizure aggravation is seen especially in children but may also occur in adults. In case of seizure aggravation, Trileptin should be discontinued.</w:t>
            </w:r>
          </w:p>
          <w:p w:rsidR="00EC3B6C" w:rsidRPr="00EC3B6C" w:rsidRDefault="00EC3B6C" w:rsidP="00EC3B6C">
            <w:pPr>
              <w:keepNext/>
              <w:keepLines/>
              <w:bidi w:val="0"/>
              <w:spacing w:before="120"/>
              <w:ind w:right="-9"/>
              <w:jc w:val="both"/>
              <w:rPr>
                <w:rFonts w:cs="Times New Roman"/>
                <w:szCs w:val="20"/>
                <w:lang w:eastAsia="en-US" w:bidi="ar-SA"/>
              </w:rPr>
            </w:pPr>
            <w:r w:rsidRPr="00EC3B6C">
              <w:rPr>
                <w:rFonts w:cs="Times New Roman"/>
                <w:szCs w:val="20"/>
                <w:lang w:eastAsia="en-US" w:bidi="ar-SA"/>
              </w:rPr>
              <w:lastRenderedPageBreak/>
              <w:t>...</w:t>
            </w:r>
          </w:p>
          <w:p w:rsidR="00EC3B6C" w:rsidRPr="00EC3B6C" w:rsidRDefault="00EC3B6C" w:rsidP="00EC3B6C">
            <w:pPr>
              <w:keepNext/>
              <w:keepLines/>
              <w:bidi w:val="0"/>
              <w:spacing w:before="240" w:after="60"/>
              <w:ind w:left="1701" w:right="-9" w:hanging="1701"/>
              <w:rPr>
                <w:rFonts w:ascii="Arial" w:hAnsi="Arial" w:cs="Times New Roman"/>
                <w:b/>
                <w:color w:val="0000FF"/>
                <w:sz w:val="22"/>
                <w:szCs w:val="20"/>
                <w:highlight w:val="yellow"/>
                <w:u w:val="single"/>
                <w:lang w:val="en-GB" w:eastAsia="en-US" w:bidi="ar-SA"/>
              </w:rPr>
            </w:pPr>
            <w:r w:rsidRPr="00EC3B6C">
              <w:rPr>
                <w:rFonts w:ascii="Arial" w:hAnsi="Arial" w:cs="Times New Roman"/>
                <w:b/>
                <w:color w:val="0000FF"/>
                <w:sz w:val="22"/>
                <w:szCs w:val="20"/>
                <w:highlight w:val="yellow"/>
                <w:u w:val="single"/>
                <w:lang w:val="en-GB" w:eastAsia="en-US" w:bidi="ar-SA"/>
              </w:rPr>
              <w:t>Hypothyroidism</w:t>
            </w:r>
          </w:p>
          <w:p w:rsidR="00EC3B6C" w:rsidRDefault="00EC3B6C" w:rsidP="00EC3B6C">
            <w:pPr>
              <w:bidi w:val="0"/>
              <w:spacing w:before="120"/>
              <w:ind w:right="-9"/>
              <w:jc w:val="both"/>
              <w:rPr>
                <w:rFonts w:cs="Times New Roman"/>
                <w:color w:val="0000FF"/>
                <w:szCs w:val="20"/>
                <w:u w:val="single"/>
                <w:lang w:eastAsia="en-US" w:bidi="ar-SA"/>
              </w:rPr>
            </w:pPr>
            <w:r w:rsidRPr="00EC3B6C">
              <w:rPr>
                <w:rFonts w:cs="Times New Roman"/>
                <w:color w:val="0000FF"/>
                <w:szCs w:val="20"/>
                <w:highlight w:val="yellow"/>
                <w:u w:val="single"/>
                <w:lang w:eastAsia="en-US" w:bidi="ar-SA"/>
              </w:rPr>
              <w:t>Hypothyroidism is a very rare adverse drug reaction of oxcarbazepine. Considering the importance of thyroid hormones in children’s development after birth, it is advisable to perform a thyroid function test before the start of Trileptin therapy in the pediatric age group, especially in children aged two years or below. Thyroid function monitoring is recommended in the pediatric age group while on Trileptin therapy.</w:t>
            </w:r>
          </w:p>
          <w:p w:rsidR="00EC3B6C" w:rsidRPr="00EC3B6C" w:rsidRDefault="00EC3B6C" w:rsidP="00EC3B6C">
            <w:pPr>
              <w:bidi w:val="0"/>
              <w:spacing w:before="120"/>
              <w:ind w:right="-9"/>
              <w:jc w:val="both"/>
              <w:rPr>
                <w:rFonts w:cs="Times New Roman"/>
                <w:szCs w:val="20"/>
                <w:lang w:eastAsia="en-US" w:bidi="ar-SA"/>
              </w:rPr>
            </w:pPr>
            <w:r>
              <w:rPr>
                <w:rFonts w:cs="Times New Roman"/>
                <w:szCs w:val="20"/>
                <w:lang w:eastAsia="en-US" w:bidi="ar-SA"/>
              </w:rPr>
              <w:t>...</w:t>
            </w:r>
          </w:p>
          <w:p w:rsidR="00EC3B6C" w:rsidRPr="00EC3B6C" w:rsidRDefault="00EC3B6C" w:rsidP="00EC3B6C">
            <w:pPr>
              <w:keepNext/>
              <w:keepLines/>
              <w:bidi w:val="0"/>
              <w:spacing w:before="240" w:after="60"/>
              <w:ind w:right="-9"/>
              <w:rPr>
                <w:rFonts w:ascii="Arial" w:hAnsi="Arial" w:cs="Times New Roman"/>
                <w:b/>
                <w:color w:val="0000FF"/>
                <w:sz w:val="22"/>
                <w:szCs w:val="20"/>
                <w:u w:val="single"/>
                <w:lang w:val="en-GB" w:eastAsia="en-US" w:bidi="ar-SA"/>
              </w:rPr>
            </w:pPr>
            <w:r w:rsidRPr="00EC3B6C">
              <w:rPr>
                <w:rFonts w:ascii="Arial" w:hAnsi="Arial" w:cs="Times New Roman"/>
                <w:b/>
                <w:color w:val="0000FF"/>
                <w:sz w:val="22"/>
                <w:szCs w:val="20"/>
                <w:u w:val="single"/>
                <w:lang w:val="en-GB" w:eastAsia="en-US" w:bidi="ar-SA"/>
              </w:rPr>
              <w:t>Renal function</w:t>
            </w:r>
          </w:p>
          <w:p w:rsidR="00EC3B6C" w:rsidRDefault="00EC3B6C" w:rsidP="00EC3B6C">
            <w:pPr>
              <w:bidi w:val="0"/>
              <w:spacing w:before="120"/>
              <w:ind w:right="-9"/>
              <w:jc w:val="both"/>
              <w:rPr>
                <w:rFonts w:cs="Times New Roman"/>
                <w:color w:val="0000FF"/>
                <w:szCs w:val="20"/>
                <w:u w:val="single"/>
                <w:lang w:eastAsia="en-US" w:bidi="ar-SA"/>
              </w:rPr>
            </w:pPr>
            <w:r w:rsidRPr="00EC3B6C">
              <w:rPr>
                <w:rFonts w:cs="Times New Roman"/>
                <w:color w:val="0000FF"/>
                <w:szCs w:val="20"/>
                <w:u w:val="single"/>
                <w:lang w:eastAsia="en-US" w:bidi="ar-SA"/>
              </w:rPr>
              <w:t xml:space="preserve">In patients with impaired renal function (creatinine clearance less than 30 mL/min), </w:t>
            </w:r>
            <w:r w:rsidRPr="00EC3B6C">
              <w:rPr>
                <w:rFonts w:cs="Times New Roman"/>
                <w:color w:val="0000FF"/>
                <w:szCs w:val="20"/>
                <w:highlight w:val="yellow"/>
                <w:u w:val="single"/>
                <w:lang w:eastAsia="en-US" w:bidi="ar-SA"/>
              </w:rPr>
              <w:t>caution should be exercised during Trileptin treatment especially with regard to the starting dose and up titration of the dose</w:t>
            </w:r>
            <w:r w:rsidRPr="00EC3B6C">
              <w:rPr>
                <w:rFonts w:cs="Times New Roman"/>
                <w:color w:val="0000FF"/>
                <w:szCs w:val="20"/>
                <w:u w:val="single"/>
                <w:lang w:eastAsia="en-US" w:bidi="ar-SA"/>
              </w:rPr>
              <w:t xml:space="preserve"> (see sections 4 Dosage and administration and 11 Clinical pharmacology).</w:t>
            </w:r>
          </w:p>
          <w:p w:rsidR="00E330F6" w:rsidRDefault="00E330F6" w:rsidP="00E330F6">
            <w:pPr>
              <w:bidi w:val="0"/>
              <w:spacing w:before="120"/>
              <w:ind w:right="-9"/>
              <w:jc w:val="both"/>
              <w:rPr>
                <w:rFonts w:cs="Times New Roman"/>
                <w:szCs w:val="20"/>
                <w:lang w:eastAsia="en-US" w:bidi="ar-SA"/>
              </w:rPr>
            </w:pPr>
            <w:r>
              <w:rPr>
                <w:rFonts w:cs="Times New Roman"/>
                <w:szCs w:val="20"/>
                <w:lang w:eastAsia="en-US" w:bidi="ar-SA"/>
              </w:rPr>
              <w:t>...</w:t>
            </w:r>
          </w:p>
          <w:p w:rsidR="00E330F6" w:rsidRPr="00E330F6" w:rsidRDefault="00E330F6" w:rsidP="00FB5996">
            <w:pPr>
              <w:keepNext/>
              <w:keepLines/>
              <w:bidi w:val="0"/>
              <w:spacing w:before="240" w:after="60"/>
              <w:ind w:right="34"/>
              <w:outlineLvl w:val="1"/>
              <w:rPr>
                <w:rFonts w:ascii="Arial" w:hAnsi="Arial" w:cs="Arial"/>
                <w:b/>
                <w:lang w:eastAsia="en-US" w:bidi="ar-SA"/>
              </w:rPr>
            </w:pPr>
            <w:r w:rsidRPr="00E330F6">
              <w:rPr>
                <w:rFonts w:ascii="Arial" w:hAnsi="Arial" w:cs="Arial"/>
                <w:b/>
                <w:strike/>
                <w:color w:val="0000FF"/>
                <w:lang w:eastAsia="en-US" w:bidi="ar-SA"/>
              </w:rPr>
              <w:t>4.7</w:t>
            </w:r>
            <w:r w:rsidRPr="00E330F6">
              <w:rPr>
                <w:rFonts w:ascii="Arial" w:hAnsi="Arial" w:cs="Arial"/>
                <w:b/>
                <w:strike/>
                <w:color w:val="0000FF"/>
                <w:lang w:eastAsia="en-US" w:bidi="ar-SA"/>
              </w:rPr>
              <w:tab/>
              <w:t>Effects on ability to drive and use machines</w:t>
            </w:r>
            <w:r w:rsidR="00E438CE">
              <w:rPr>
                <w:rFonts w:ascii="Arial" w:hAnsi="Arial" w:cs="Arial"/>
                <w:b/>
                <w:lang w:eastAsia="en-US" w:bidi="ar-SA"/>
              </w:rPr>
              <w:t xml:space="preserve"> </w:t>
            </w:r>
            <w:r w:rsidRPr="00E330F6">
              <w:rPr>
                <w:rFonts w:ascii="Arial" w:hAnsi="Arial" w:cs="Arial"/>
                <w:b/>
                <w:color w:val="0000FF"/>
                <w:u w:val="single"/>
                <w:lang w:eastAsia="en-US" w:bidi="ar-SA"/>
              </w:rPr>
              <w:t>Driving and using machines</w:t>
            </w:r>
          </w:p>
          <w:p w:rsidR="00E330F6" w:rsidRPr="00E330F6" w:rsidRDefault="00E330F6" w:rsidP="00FB5996">
            <w:pPr>
              <w:bidi w:val="0"/>
              <w:spacing w:before="120"/>
              <w:ind w:right="34"/>
              <w:rPr>
                <w:rFonts w:cs="Times New Roman"/>
                <w:szCs w:val="20"/>
                <w:lang w:eastAsia="en-US" w:bidi="ar-SA"/>
              </w:rPr>
            </w:pPr>
            <w:r w:rsidRPr="00E330F6">
              <w:rPr>
                <w:rFonts w:cs="Times New Roman"/>
                <w:strike/>
                <w:color w:val="0000FF"/>
                <w:lang w:eastAsia="en-US" w:bidi="ar-SA"/>
              </w:rPr>
              <w:t>The use of Trileptin has been associated with adverse reactions such as dizziness or somnolence (see section 4.8 Undesirable effects). Therefore, patients should be advised that their physical and/or mental abilities required for operating machinery or driving a car might be impaired.</w:t>
            </w:r>
            <w:r w:rsidR="00E438CE">
              <w:rPr>
                <w:rFonts w:cs="Times New Roman"/>
                <w:lang w:eastAsia="en-US" w:bidi="ar-SA"/>
              </w:rPr>
              <w:t xml:space="preserve"> </w:t>
            </w:r>
            <w:r w:rsidRPr="00E330F6">
              <w:rPr>
                <w:rFonts w:cs="Times New Roman"/>
                <w:color w:val="0000FF"/>
                <w:szCs w:val="20"/>
                <w:u w:val="single"/>
                <w:lang w:eastAsia="en-US" w:bidi="ar-SA"/>
              </w:rPr>
              <w:t xml:space="preserve">Adverse reactions such as dizziness, somnolence, </w:t>
            </w:r>
            <w:r w:rsidRPr="00E330F6">
              <w:rPr>
                <w:rFonts w:cs="Times New Roman"/>
                <w:color w:val="0000FF"/>
                <w:szCs w:val="20"/>
                <w:highlight w:val="yellow"/>
                <w:u w:val="single"/>
                <w:lang w:eastAsia="en-US" w:bidi="ar-SA"/>
              </w:rPr>
              <w:t>ataxia, diplopia, blurred vision, visual disturbances, hyponatremia and depressed level of consciousness</w:t>
            </w:r>
            <w:r w:rsidRPr="00E330F6">
              <w:rPr>
                <w:rFonts w:cs="Times New Roman"/>
                <w:color w:val="0000FF"/>
                <w:szCs w:val="20"/>
                <w:u w:val="single"/>
                <w:lang w:eastAsia="en-US" w:bidi="ar-SA"/>
              </w:rPr>
              <w:t xml:space="preserve"> were reported with Trileptin (for the complete list of ADRs see section 7 Adverse drug reactions), </w:t>
            </w:r>
            <w:r w:rsidRPr="00E330F6">
              <w:rPr>
                <w:rFonts w:cs="Times New Roman"/>
                <w:color w:val="0000FF"/>
                <w:szCs w:val="20"/>
                <w:highlight w:val="yellow"/>
                <w:u w:val="single"/>
                <w:lang w:eastAsia="en-US" w:bidi="ar-SA"/>
              </w:rPr>
              <w:t>especially at the start of treatment or in connection with dose adjustments (more frequently during the up titration phase)</w:t>
            </w:r>
            <w:r w:rsidRPr="00E330F6">
              <w:rPr>
                <w:rFonts w:cs="Times New Roman"/>
                <w:color w:val="0000FF"/>
                <w:szCs w:val="20"/>
                <w:u w:val="single"/>
                <w:lang w:eastAsia="en-US" w:bidi="ar-SA"/>
              </w:rPr>
              <w:t>. Patients should therefore exercise due caution when driving a vehicle or operating machinery.</w:t>
            </w:r>
          </w:p>
          <w:p w:rsidR="00D93FF9" w:rsidRPr="00D93FF9" w:rsidRDefault="00D93FF9" w:rsidP="005D12CC">
            <w:pPr>
              <w:pStyle w:val="Text"/>
              <w:spacing w:before="0" w:line="240" w:lineRule="auto"/>
              <w:jc w:val="left"/>
              <w:rPr>
                <w:rFonts w:ascii="Times New Roman" w:hAnsi="Times New Roman"/>
                <w:sz w:val="24"/>
                <w:szCs w:val="24"/>
                <w:rtl/>
              </w:rPr>
            </w:pPr>
          </w:p>
        </w:tc>
      </w:tr>
      <w:tr w:rsidR="00D80D0B" w:rsidTr="000D21B9">
        <w:trPr>
          <w:jc w:val="center"/>
        </w:trPr>
        <w:tc>
          <w:tcPr>
            <w:tcW w:w="1799" w:type="dxa"/>
          </w:tcPr>
          <w:p w:rsidR="00D80D0B" w:rsidRPr="006804B9" w:rsidRDefault="00F012FD" w:rsidP="00950344">
            <w:pPr>
              <w:bidi w:val="0"/>
              <w:rPr>
                <w:b/>
                <w:bCs/>
                <w:sz w:val="22"/>
                <w:szCs w:val="22"/>
                <w:rtl/>
              </w:rPr>
            </w:pPr>
            <w:r>
              <w:rPr>
                <w:b/>
                <w:bCs/>
                <w:lang w:val="en-GB"/>
              </w:rPr>
              <w:lastRenderedPageBreak/>
              <w:t>Adverse drug reactions</w:t>
            </w:r>
          </w:p>
        </w:tc>
        <w:tc>
          <w:tcPr>
            <w:tcW w:w="4111" w:type="dxa"/>
          </w:tcPr>
          <w:p w:rsidR="005D12CC" w:rsidRPr="00184809" w:rsidRDefault="005D12CC" w:rsidP="005D12CC">
            <w:pPr>
              <w:pStyle w:val="Text"/>
              <w:spacing w:before="0" w:line="240" w:lineRule="auto"/>
              <w:jc w:val="left"/>
              <w:rPr>
                <w:rFonts w:ascii="Times New Roman" w:hAnsi="Times New Roman"/>
                <w:sz w:val="24"/>
                <w:szCs w:val="24"/>
                <w:rtl/>
              </w:rPr>
            </w:pPr>
          </w:p>
        </w:tc>
        <w:tc>
          <w:tcPr>
            <w:tcW w:w="4437" w:type="dxa"/>
          </w:tcPr>
          <w:p w:rsidR="004939E7" w:rsidRPr="004939E7" w:rsidRDefault="004939E7" w:rsidP="004939E7">
            <w:pPr>
              <w:keepNext/>
              <w:keepLines/>
              <w:bidi w:val="0"/>
              <w:spacing w:before="240" w:after="60"/>
              <w:rPr>
                <w:rFonts w:ascii="Arial" w:hAnsi="Arial" w:cs="Times New Roman"/>
                <w:b/>
                <w:sz w:val="22"/>
                <w:szCs w:val="20"/>
                <w:lang w:eastAsia="en-US" w:bidi="ar-SA"/>
              </w:rPr>
            </w:pPr>
            <w:r w:rsidRPr="004939E7">
              <w:rPr>
                <w:rFonts w:ascii="Arial" w:hAnsi="Arial" w:cs="Times New Roman"/>
                <w:b/>
                <w:sz w:val="22"/>
                <w:szCs w:val="20"/>
                <w:lang w:eastAsia="en-US" w:bidi="ar-SA"/>
              </w:rPr>
              <w:t xml:space="preserve">Adverse drug reactions from spontaneous reports and literature </w:t>
            </w:r>
            <w:r w:rsidRPr="004939E7">
              <w:rPr>
                <w:rFonts w:ascii="Arial" w:hAnsi="Arial" w:cs="Times New Roman"/>
                <w:b/>
                <w:sz w:val="22"/>
                <w:szCs w:val="20"/>
                <w:lang w:eastAsia="en-US" w:bidi="ar-SA"/>
              </w:rPr>
              <w:lastRenderedPageBreak/>
              <w:t>cases (frequency not known)</w:t>
            </w:r>
          </w:p>
          <w:p w:rsidR="004939E7" w:rsidRPr="004939E7" w:rsidRDefault="004939E7" w:rsidP="004939E7">
            <w:pPr>
              <w:bidi w:val="0"/>
              <w:spacing w:before="120"/>
              <w:jc w:val="both"/>
              <w:rPr>
                <w:rFonts w:cs="Times New Roman"/>
                <w:lang w:eastAsia="en-US" w:bidi="ar-SA"/>
              </w:rPr>
            </w:pPr>
            <w:r>
              <w:rPr>
                <w:rFonts w:cs="Times New Roman"/>
                <w:lang w:eastAsia="en-US" w:bidi="ar-SA"/>
              </w:rPr>
              <w:t>...</w:t>
            </w:r>
          </w:p>
          <w:p w:rsidR="004939E7" w:rsidRPr="004939E7" w:rsidRDefault="004939E7" w:rsidP="004939E7">
            <w:pPr>
              <w:bidi w:val="0"/>
              <w:spacing w:before="120"/>
              <w:jc w:val="both"/>
              <w:rPr>
                <w:rFonts w:cs="Times New Roman"/>
                <w:b/>
                <w:color w:val="0000FF"/>
                <w:szCs w:val="20"/>
                <w:highlight w:val="yellow"/>
                <w:u w:val="single"/>
                <w:lang w:eastAsia="en-US" w:bidi="ar-SA"/>
              </w:rPr>
            </w:pPr>
            <w:r w:rsidRPr="004939E7">
              <w:rPr>
                <w:rFonts w:cs="Times New Roman"/>
                <w:b/>
                <w:color w:val="0000FF"/>
                <w:szCs w:val="20"/>
                <w:highlight w:val="yellow"/>
                <w:u w:val="single"/>
                <w:lang w:eastAsia="en-US" w:bidi="ar-SA"/>
              </w:rPr>
              <w:t>Metabolism and nutrition disorders</w:t>
            </w:r>
          </w:p>
          <w:p w:rsidR="004939E7" w:rsidRPr="004939E7" w:rsidRDefault="004939E7" w:rsidP="004939E7">
            <w:pPr>
              <w:keepNext/>
              <w:bidi w:val="0"/>
              <w:spacing w:before="120"/>
              <w:jc w:val="both"/>
              <w:rPr>
                <w:rFonts w:cs="Times New Roman"/>
                <w:b/>
                <w:color w:val="0000FF"/>
                <w:szCs w:val="20"/>
                <w:u w:val="single"/>
                <w:lang w:eastAsia="en-US" w:bidi="ar-SA"/>
              </w:rPr>
            </w:pPr>
            <w:r w:rsidRPr="004939E7">
              <w:rPr>
                <w:rFonts w:cs="Times New Roman"/>
                <w:color w:val="0000FF"/>
                <w:szCs w:val="20"/>
                <w:highlight w:val="yellow"/>
                <w:u w:val="single"/>
                <w:lang w:eastAsia="en-US" w:bidi="ar-SA"/>
              </w:rPr>
              <w:t xml:space="preserve">Inappropriate ADH secretion like syndrome with signs and symptoms of lethargy, nausea, dizziness, decrease in serum (blood) osmolality, vomiting, headache, </w:t>
            </w:r>
            <w:proofErr w:type="spellStart"/>
            <w:r w:rsidRPr="004939E7">
              <w:rPr>
                <w:rFonts w:cs="Times New Roman"/>
                <w:color w:val="0000FF"/>
                <w:szCs w:val="20"/>
                <w:highlight w:val="yellow"/>
                <w:u w:val="single"/>
                <w:lang w:eastAsia="en-US" w:bidi="ar-SA"/>
              </w:rPr>
              <w:t>confusional</w:t>
            </w:r>
            <w:proofErr w:type="spellEnd"/>
            <w:r w:rsidRPr="004939E7">
              <w:rPr>
                <w:rFonts w:cs="Times New Roman"/>
                <w:color w:val="0000FF"/>
                <w:szCs w:val="20"/>
                <w:highlight w:val="yellow"/>
                <w:u w:val="single"/>
                <w:lang w:eastAsia="en-US" w:bidi="ar-SA"/>
              </w:rPr>
              <w:t xml:space="preserve"> state or other neurological signs and symptoms.</w:t>
            </w:r>
            <w:r w:rsidRPr="004939E7">
              <w:rPr>
                <w:rFonts w:cs="Times New Roman"/>
                <w:color w:val="0000FF"/>
                <w:szCs w:val="20"/>
                <w:u w:val="single"/>
                <w:lang w:eastAsia="en-US" w:bidi="ar-SA"/>
              </w:rPr>
              <w:t xml:space="preserve"> </w:t>
            </w:r>
          </w:p>
          <w:p w:rsidR="004939E7" w:rsidRPr="004939E7" w:rsidRDefault="004939E7" w:rsidP="004939E7">
            <w:pPr>
              <w:bidi w:val="0"/>
              <w:spacing w:before="120"/>
              <w:jc w:val="both"/>
              <w:rPr>
                <w:rFonts w:cs="Times New Roman"/>
                <w:bCs/>
                <w:lang w:eastAsia="en-US" w:bidi="ar-SA"/>
              </w:rPr>
            </w:pPr>
            <w:r w:rsidRPr="004939E7">
              <w:rPr>
                <w:rFonts w:cs="Times New Roman"/>
                <w:bCs/>
                <w:lang w:eastAsia="en-US" w:bidi="ar-SA"/>
              </w:rPr>
              <w:t>...</w:t>
            </w:r>
          </w:p>
          <w:p w:rsidR="004939E7" w:rsidRPr="004939E7" w:rsidRDefault="004939E7" w:rsidP="004939E7">
            <w:pPr>
              <w:bidi w:val="0"/>
              <w:spacing w:before="120"/>
              <w:jc w:val="both"/>
              <w:rPr>
                <w:rFonts w:cs="Times New Roman"/>
                <w:b/>
                <w:color w:val="0000FF"/>
                <w:szCs w:val="20"/>
                <w:highlight w:val="yellow"/>
                <w:u w:val="single"/>
                <w:lang w:eastAsia="en-US" w:bidi="ar-SA"/>
              </w:rPr>
            </w:pPr>
            <w:r w:rsidRPr="004939E7">
              <w:rPr>
                <w:rFonts w:cs="Times New Roman"/>
                <w:b/>
                <w:color w:val="0000FF"/>
                <w:szCs w:val="20"/>
                <w:highlight w:val="yellow"/>
                <w:u w:val="single"/>
                <w:lang w:eastAsia="en-US" w:bidi="ar-SA"/>
              </w:rPr>
              <w:t>Injury, poisoning and procedural complications</w:t>
            </w:r>
          </w:p>
          <w:p w:rsidR="004939E7" w:rsidRPr="004939E7" w:rsidRDefault="004939E7" w:rsidP="004939E7">
            <w:pPr>
              <w:bidi w:val="0"/>
              <w:spacing w:before="120"/>
              <w:jc w:val="both"/>
              <w:rPr>
                <w:rFonts w:cs="Times New Roman"/>
                <w:color w:val="0000FF"/>
                <w:szCs w:val="20"/>
                <w:u w:val="single"/>
                <w:lang w:eastAsia="en-US" w:bidi="ar-SA"/>
              </w:rPr>
            </w:pPr>
            <w:r w:rsidRPr="004939E7">
              <w:rPr>
                <w:rFonts w:cs="Times New Roman"/>
                <w:color w:val="0000FF"/>
                <w:szCs w:val="20"/>
                <w:highlight w:val="yellow"/>
                <w:u w:val="single"/>
                <w:lang w:eastAsia="en-US" w:bidi="ar-SA"/>
              </w:rPr>
              <w:t>Fall.</w:t>
            </w:r>
          </w:p>
          <w:p w:rsidR="004939E7" w:rsidRPr="004939E7" w:rsidRDefault="004939E7" w:rsidP="004939E7">
            <w:pPr>
              <w:bidi w:val="0"/>
              <w:spacing w:before="120"/>
              <w:jc w:val="both"/>
              <w:rPr>
                <w:rFonts w:cs="Times New Roman"/>
                <w:b/>
                <w:color w:val="0000FF"/>
                <w:szCs w:val="20"/>
                <w:highlight w:val="yellow"/>
                <w:u w:val="single"/>
                <w:lang w:eastAsia="en-US" w:bidi="ar-SA"/>
              </w:rPr>
            </w:pPr>
            <w:r w:rsidRPr="004939E7">
              <w:rPr>
                <w:rFonts w:cs="Times New Roman"/>
                <w:b/>
                <w:color w:val="0000FF"/>
                <w:szCs w:val="20"/>
                <w:highlight w:val="yellow"/>
                <w:u w:val="single"/>
                <w:lang w:eastAsia="en-US" w:bidi="ar-SA"/>
              </w:rPr>
              <w:t>Nervous system disorders</w:t>
            </w:r>
          </w:p>
          <w:p w:rsidR="004939E7" w:rsidRPr="004939E7" w:rsidRDefault="004939E7" w:rsidP="004939E7">
            <w:pPr>
              <w:bidi w:val="0"/>
              <w:spacing w:before="120"/>
              <w:jc w:val="both"/>
              <w:rPr>
                <w:rFonts w:cs="Times New Roman"/>
                <w:color w:val="0000FF"/>
                <w:szCs w:val="20"/>
                <w:u w:val="single"/>
                <w:lang w:eastAsia="en-US" w:bidi="ar-SA"/>
              </w:rPr>
            </w:pPr>
            <w:r w:rsidRPr="004939E7">
              <w:rPr>
                <w:rFonts w:cs="Times New Roman"/>
                <w:color w:val="0000FF"/>
                <w:szCs w:val="20"/>
                <w:highlight w:val="yellow"/>
                <w:u w:val="single"/>
                <w:lang w:eastAsia="en-US" w:bidi="ar-SA"/>
              </w:rPr>
              <w:t>Speech disorders (including dysarthria); more frequent during up titration of Trileptin dose.</w:t>
            </w:r>
          </w:p>
          <w:p w:rsidR="009B565E" w:rsidRPr="004939E7" w:rsidRDefault="009B565E" w:rsidP="005D12CC">
            <w:pPr>
              <w:pStyle w:val="Text"/>
              <w:spacing w:before="0" w:line="240" w:lineRule="auto"/>
              <w:jc w:val="left"/>
              <w:rPr>
                <w:rFonts w:ascii="Times New Roman" w:hAnsi="Times New Roman"/>
                <w:sz w:val="24"/>
                <w:szCs w:val="24"/>
                <w:rtl/>
                <w:lang w:val="en-US"/>
              </w:rPr>
            </w:pPr>
          </w:p>
        </w:tc>
      </w:tr>
      <w:tr w:rsidR="00FB5B84" w:rsidTr="000D21B9">
        <w:trPr>
          <w:jc w:val="center"/>
        </w:trPr>
        <w:tc>
          <w:tcPr>
            <w:tcW w:w="1799" w:type="dxa"/>
          </w:tcPr>
          <w:p w:rsidR="00FB5B84" w:rsidRDefault="00094DBE" w:rsidP="00094DBE">
            <w:pPr>
              <w:bidi w:val="0"/>
              <w:rPr>
                <w:b/>
                <w:bCs/>
                <w:lang w:val="en-GB"/>
              </w:rPr>
            </w:pPr>
            <w:r w:rsidRPr="00094DBE">
              <w:rPr>
                <w:b/>
                <w:bCs/>
              </w:rPr>
              <w:lastRenderedPageBreak/>
              <w:t>Women of child-bearing potential (WOCBP), pregnancy, breast-feeding and fertility</w:t>
            </w:r>
          </w:p>
        </w:tc>
        <w:tc>
          <w:tcPr>
            <w:tcW w:w="4111" w:type="dxa"/>
          </w:tcPr>
          <w:p w:rsidR="00FB5B84" w:rsidRPr="00FB5B84" w:rsidRDefault="00FB5B84" w:rsidP="00FB5B84">
            <w:pPr>
              <w:keepNext/>
              <w:keepLines/>
              <w:bidi w:val="0"/>
              <w:spacing w:before="240" w:after="60"/>
              <w:ind w:left="459" w:hanging="459"/>
              <w:outlineLvl w:val="1"/>
              <w:rPr>
                <w:rFonts w:ascii="Arial" w:hAnsi="Arial" w:cs="Arial"/>
                <w:b/>
                <w:lang w:eastAsia="en-US" w:bidi="ar-SA"/>
              </w:rPr>
            </w:pPr>
            <w:r w:rsidRPr="00FB5B84">
              <w:rPr>
                <w:rFonts w:ascii="Arial" w:hAnsi="Arial" w:cs="Arial"/>
                <w:b/>
                <w:lang w:eastAsia="en-US" w:bidi="ar-SA"/>
              </w:rPr>
              <w:t>4.6</w:t>
            </w:r>
            <w:r w:rsidRPr="00FB5B84">
              <w:rPr>
                <w:rFonts w:ascii="Arial" w:hAnsi="Arial" w:cs="Arial"/>
                <w:b/>
                <w:lang w:eastAsia="en-US" w:bidi="ar-SA"/>
              </w:rPr>
              <w:tab/>
              <w:t>Pregnancy and lactation</w:t>
            </w:r>
          </w:p>
          <w:p w:rsidR="00FB5B84" w:rsidRPr="00FB5B84" w:rsidRDefault="00FB5B84" w:rsidP="00FB5B84">
            <w:pPr>
              <w:keepNext/>
              <w:keepLines/>
              <w:bidi w:val="0"/>
              <w:spacing w:before="240" w:after="60"/>
              <w:ind w:left="1701" w:hanging="1701"/>
              <w:rPr>
                <w:b/>
                <w:lang w:eastAsia="en-US" w:bidi="ar-SA"/>
              </w:rPr>
            </w:pPr>
            <w:r w:rsidRPr="00FB5B84">
              <w:rPr>
                <w:b/>
                <w:lang w:eastAsia="en-US" w:bidi="ar-SA"/>
              </w:rPr>
              <w:t>Pregnancy</w:t>
            </w:r>
          </w:p>
          <w:p w:rsidR="00FB5B84" w:rsidRPr="00FB5B84" w:rsidRDefault="00FB5B84" w:rsidP="00FB5B84">
            <w:pPr>
              <w:bidi w:val="0"/>
              <w:spacing w:before="120"/>
              <w:rPr>
                <w:rFonts w:cs="Times New Roman"/>
                <w:b/>
                <w:lang w:eastAsia="en-US" w:bidi="ar-SA"/>
              </w:rPr>
            </w:pPr>
            <w:r w:rsidRPr="00FB5B84">
              <w:rPr>
                <w:rFonts w:cs="Times New Roman"/>
                <w:lang w:eastAsia="en-US" w:bidi="ar-SA"/>
              </w:rPr>
              <w:t>Data on a limited number of pregnancies indicate that oxcarbazepine may cause serious birth defects (e.g. cleft palate) when administered during pregnancy. In animal studies, increased embryo mortality, delayed growth and malformations were observed at maternally toxic dose levels (see section 5.3 Preclinical safety data).</w:t>
            </w:r>
          </w:p>
          <w:p w:rsidR="00FB5B84" w:rsidRPr="00FB5B84" w:rsidRDefault="00FB5B84" w:rsidP="005D12CC">
            <w:pPr>
              <w:pStyle w:val="Text"/>
              <w:spacing w:before="0" w:line="240" w:lineRule="auto"/>
              <w:jc w:val="left"/>
              <w:rPr>
                <w:rFonts w:ascii="Times New Roman" w:hAnsi="Times New Roman"/>
                <w:sz w:val="24"/>
                <w:szCs w:val="24"/>
                <w:rtl/>
                <w:lang w:val="en-US"/>
              </w:rPr>
            </w:pPr>
          </w:p>
        </w:tc>
        <w:tc>
          <w:tcPr>
            <w:tcW w:w="4437" w:type="dxa"/>
          </w:tcPr>
          <w:p w:rsidR="002634A9" w:rsidRDefault="002634A9" w:rsidP="00094DBE">
            <w:pPr>
              <w:keepNext/>
              <w:keepLines/>
              <w:bidi w:val="0"/>
              <w:spacing w:before="240" w:after="60"/>
              <w:ind w:left="1701" w:hanging="1701"/>
              <w:rPr>
                <w:b/>
                <w:lang w:eastAsia="en-US" w:bidi="ar-SA"/>
              </w:rPr>
            </w:pPr>
          </w:p>
          <w:p w:rsidR="00FB5B84" w:rsidRPr="00FB5B84" w:rsidRDefault="00FB5B84" w:rsidP="002634A9">
            <w:pPr>
              <w:keepNext/>
              <w:keepLines/>
              <w:bidi w:val="0"/>
              <w:spacing w:before="240" w:after="60"/>
              <w:ind w:left="1701" w:hanging="1701"/>
              <w:rPr>
                <w:b/>
                <w:lang w:eastAsia="en-US" w:bidi="ar-SA"/>
              </w:rPr>
            </w:pPr>
            <w:r w:rsidRPr="00FB5B84">
              <w:rPr>
                <w:b/>
                <w:lang w:eastAsia="en-US" w:bidi="ar-SA"/>
              </w:rPr>
              <w:t>Pregnancy</w:t>
            </w:r>
          </w:p>
          <w:p w:rsidR="00FB5B84" w:rsidRDefault="00FB5B84" w:rsidP="00094DBE">
            <w:pPr>
              <w:bidi w:val="0"/>
              <w:spacing w:before="120"/>
              <w:ind w:hanging="1701"/>
              <w:rPr>
                <w:rFonts w:cs="Times New Roman"/>
                <w:strike/>
                <w:color w:val="0000FF"/>
                <w:lang w:eastAsia="en-US" w:bidi="ar-SA"/>
              </w:rPr>
            </w:pPr>
            <w:r w:rsidRPr="00FB5B84">
              <w:rPr>
                <w:rFonts w:cs="Times New Roman"/>
                <w:color w:val="0000FF"/>
                <w:szCs w:val="20"/>
                <w:highlight w:val="yellow"/>
                <w:u w:val="single"/>
                <w:lang w:eastAsia="en-US" w:bidi="ar-SA"/>
              </w:rPr>
              <w:t>Offspring of epileptic mothers are known to be more prone to developmental disorders, including malformations</w:t>
            </w:r>
            <w:r w:rsidRPr="00FB5B84">
              <w:rPr>
                <w:rFonts w:cs="Times New Roman"/>
                <w:color w:val="0000FF"/>
                <w:szCs w:val="20"/>
                <w:u w:val="single"/>
                <w:lang w:eastAsia="en-US" w:bidi="ar-SA"/>
              </w:rPr>
              <w:t>.</w:t>
            </w:r>
            <w:r w:rsidRPr="00FB5B84">
              <w:rPr>
                <w:rFonts w:cs="Times New Roman"/>
                <w:szCs w:val="20"/>
                <w:lang w:eastAsia="en-US" w:bidi="ar-SA"/>
              </w:rPr>
              <w:t xml:space="preserve"> </w:t>
            </w:r>
            <w:r w:rsidRPr="00FB5B84">
              <w:rPr>
                <w:rFonts w:cs="Times New Roman"/>
                <w:lang w:eastAsia="en-US" w:bidi="ar-SA"/>
              </w:rPr>
              <w:t xml:space="preserve">Data on a limited number of pregnancies indicate that oxcarbazepine may cause serious birth defects </w:t>
            </w:r>
            <w:r w:rsidRPr="00FB5B84">
              <w:rPr>
                <w:rFonts w:cs="Times New Roman"/>
                <w:strike/>
                <w:color w:val="0000FF"/>
                <w:lang w:eastAsia="en-US" w:bidi="ar-SA"/>
              </w:rPr>
              <w:t>(e.g. cleft palate)</w:t>
            </w:r>
            <w:r w:rsidRPr="00FB5B84">
              <w:rPr>
                <w:rFonts w:cs="Times New Roman"/>
                <w:lang w:eastAsia="en-US" w:bidi="ar-SA"/>
              </w:rPr>
              <w:t xml:space="preserve"> when administered during pregnancy </w:t>
            </w:r>
            <w:r w:rsidRPr="00FB5B84">
              <w:rPr>
                <w:rFonts w:cs="Times New Roman"/>
                <w:strike/>
                <w:color w:val="0000FF"/>
                <w:szCs w:val="20"/>
                <w:lang w:eastAsia="en-US" w:bidi="ar-SA"/>
              </w:rPr>
              <w:t>(see section 13 Non-clinical safety data)</w:t>
            </w:r>
            <w:r w:rsidRPr="00FB5B84">
              <w:rPr>
                <w:rFonts w:cs="Times New Roman"/>
                <w:lang w:eastAsia="en-US" w:bidi="ar-SA"/>
              </w:rPr>
              <w:t xml:space="preserve">. </w:t>
            </w:r>
            <w:r w:rsidRPr="00FB5B84">
              <w:rPr>
                <w:rFonts w:cs="Times New Roman"/>
                <w:color w:val="0000FF"/>
                <w:szCs w:val="20"/>
                <w:highlight w:val="yellow"/>
                <w:u w:val="single"/>
                <w:lang w:eastAsia="en-US" w:bidi="ar-SA"/>
              </w:rPr>
              <w:t xml:space="preserve">The most frequent congenital malformations seen with oxcarbazepine therapy were ventricular </w:t>
            </w:r>
            <w:proofErr w:type="spellStart"/>
            <w:r w:rsidRPr="00FB5B84">
              <w:rPr>
                <w:rFonts w:cs="Times New Roman"/>
                <w:color w:val="0000FF"/>
                <w:szCs w:val="20"/>
                <w:highlight w:val="yellow"/>
                <w:u w:val="single"/>
                <w:lang w:eastAsia="en-US" w:bidi="ar-SA"/>
              </w:rPr>
              <w:t>septal</w:t>
            </w:r>
            <w:proofErr w:type="spellEnd"/>
            <w:r w:rsidRPr="00FB5B84">
              <w:rPr>
                <w:rFonts w:cs="Times New Roman"/>
                <w:color w:val="0000FF"/>
                <w:szCs w:val="20"/>
                <w:highlight w:val="yellow"/>
                <w:u w:val="single"/>
                <w:lang w:eastAsia="en-US" w:bidi="ar-SA"/>
              </w:rPr>
              <w:t xml:space="preserve"> defect, </w:t>
            </w:r>
            <w:proofErr w:type="spellStart"/>
            <w:r w:rsidRPr="00FB5B84">
              <w:rPr>
                <w:rFonts w:cs="Times New Roman"/>
                <w:color w:val="0000FF"/>
                <w:szCs w:val="20"/>
                <w:highlight w:val="yellow"/>
                <w:u w:val="single"/>
                <w:lang w:eastAsia="en-US" w:bidi="ar-SA"/>
              </w:rPr>
              <w:t>atrioventricular</w:t>
            </w:r>
            <w:proofErr w:type="spellEnd"/>
            <w:r w:rsidRPr="00FB5B84">
              <w:rPr>
                <w:rFonts w:cs="Times New Roman"/>
                <w:color w:val="0000FF"/>
                <w:szCs w:val="20"/>
                <w:highlight w:val="yellow"/>
                <w:u w:val="single"/>
                <w:lang w:eastAsia="en-US" w:bidi="ar-SA"/>
              </w:rPr>
              <w:t xml:space="preserve"> </w:t>
            </w:r>
            <w:proofErr w:type="spellStart"/>
            <w:r w:rsidRPr="00FB5B84">
              <w:rPr>
                <w:rFonts w:cs="Times New Roman"/>
                <w:color w:val="0000FF"/>
                <w:szCs w:val="20"/>
                <w:highlight w:val="yellow"/>
                <w:u w:val="single"/>
                <w:lang w:eastAsia="en-US" w:bidi="ar-SA"/>
              </w:rPr>
              <w:t>septal</w:t>
            </w:r>
            <w:proofErr w:type="spellEnd"/>
            <w:r w:rsidRPr="00FB5B84">
              <w:rPr>
                <w:rFonts w:cs="Times New Roman"/>
                <w:color w:val="0000FF"/>
                <w:szCs w:val="20"/>
                <w:highlight w:val="yellow"/>
                <w:u w:val="single"/>
                <w:lang w:eastAsia="en-US" w:bidi="ar-SA"/>
              </w:rPr>
              <w:t xml:space="preserve"> defect, cleft palate with cleft lip, Down’s syndrome, dysplastic hip (both unilateral and bilateral), tuberous sclerosis and congenital malformation of the ear. Based on data in a North American pregnancy registry, the rate of major congenital malformations, defined as a structural abnormality with surgical, medical, or cosmetic importance, diagnosed within 12 weeks of birth was 2.0% (95% CI 0.6 to 5.1%) among mothers exposed to oxcarbazepine monotherapy in the first trimester. When compared with pregnant women not exposed to any antiepileptic drugs the relative risk (RR) of congenital abnormality in pregnant women on oxcarbazepine is (RR) 1.6, 95% CI 0.46 to 5.7.</w:t>
            </w:r>
            <w:r w:rsidRPr="00FB5B84">
              <w:rPr>
                <w:rFonts w:cs="Times New Roman"/>
                <w:szCs w:val="20"/>
                <w:lang w:eastAsia="en-US" w:bidi="ar-SA"/>
              </w:rPr>
              <w:t xml:space="preserve"> </w:t>
            </w:r>
            <w:r w:rsidRPr="00FB5B84">
              <w:rPr>
                <w:rFonts w:cs="Times New Roman"/>
                <w:strike/>
                <w:color w:val="0000FF"/>
                <w:lang w:eastAsia="en-US" w:bidi="ar-SA"/>
              </w:rPr>
              <w:t xml:space="preserve">In animal studies, increased embryo </w:t>
            </w:r>
            <w:r w:rsidRPr="00FB5B84">
              <w:rPr>
                <w:rFonts w:cs="Times New Roman"/>
                <w:strike/>
                <w:color w:val="0000FF"/>
                <w:lang w:eastAsia="en-US" w:bidi="ar-SA"/>
              </w:rPr>
              <w:lastRenderedPageBreak/>
              <w:t>mortality, delayed growth and malformations were observed at maternally toxic dose levels (see section 5.3 Preclinical safety data).</w:t>
            </w:r>
          </w:p>
          <w:p w:rsidR="005630B0" w:rsidRPr="00FB5B84" w:rsidRDefault="005630B0" w:rsidP="005630B0">
            <w:pPr>
              <w:bidi w:val="0"/>
              <w:spacing w:before="120"/>
              <w:rPr>
                <w:rFonts w:cs="Times New Roman"/>
                <w:bCs/>
                <w:lang w:eastAsia="en-US" w:bidi="ar-SA"/>
              </w:rPr>
            </w:pPr>
            <w:r>
              <w:rPr>
                <w:rFonts w:cs="Times New Roman"/>
                <w:bCs/>
                <w:lang w:eastAsia="en-US" w:bidi="ar-SA"/>
              </w:rPr>
              <w:t>...</w:t>
            </w:r>
          </w:p>
          <w:p w:rsidR="005630B0" w:rsidRPr="005630B0" w:rsidRDefault="005630B0" w:rsidP="005630B0">
            <w:pPr>
              <w:keepNext/>
              <w:keepLines/>
              <w:bidi w:val="0"/>
              <w:spacing w:before="240" w:after="60"/>
              <w:ind w:left="1701" w:hanging="1701"/>
              <w:rPr>
                <w:rFonts w:ascii="Arial" w:hAnsi="Arial" w:cs="Times New Roman"/>
                <w:b/>
                <w:color w:val="0000FF"/>
                <w:sz w:val="22"/>
                <w:szCs w:val="20"/>
                <w:u w:val="single"/>
                <w:lang w:val="en-GB" w:eastAsia="en-US" w:bidi="ar-SA"/>
              </w:rPr>
            </w:pPr>
            <w:r w:rsidRPr="005630B0">
              <w:rPr>
                <w:rFonts w:ascii="Arial" w:hAnsi="Arial" w:cs="Times New Roman"/>
                <w:b/>
                <w:color w:val="0000FF"/>
                <w:sz w:val="22"/>
                <w:szCs w:val="20"/>
                <w:u w:val="single"/>
                <w:lang w:val="en-GB" w:eastAsia="en-US" w:bidi="ar-SA"/>
              </w:rPr>
              <w:t>Fertility</w:t>
            </w:r>
          </w:p>
          <w:p w:rsidR="005630B0" w:rsidRPr="005630B0" w:rsidRDefault="005630B0" w:rsidP="005630B0">
            <w:pPr>
              <w:bidi w:val="0"/>
              <w:spacing w:before="120"/>
              <w:rPr>
                <w:rFonts w:cs="Times New Roman"/>
                <w:color w:val="0000FF"/>
                <w:szCs w:val="20"/>
                <w:u w:val="single"/>
                <w:lang w:val="en-GB" w:eastAsia="en-US" w:bidi="ar-SA"/>
              </w:rPr>
            </w:pPr>
            <w:r w:rsidRPr="005630B0">
              <w:rPr>
                <w:rFonts w:cs="Times New Roman"/>
                <w:color w:val="0000FF"/>
                <w:szCs w:val="20"/>
                <w:u w:val="single"/>
                <w:lang w:val="en-GB" w:eastAsia="en-US" w:bidi="ar-SA"/>
              </w:rPr>
              <w:t>There are no human data on fertility.</w:t>
            </w:r>
          </w:p>
          <w:p w:rsidR="00FB5B84" w:rsidRPr="00FB5B84" w:rsidRDefault="005630B0" w:rsidP="005630B0">
            <w:pPr>
              <w:keepNext/>
              <w:keepLines/>
              <w:bidi w:val="0"/>
              <w:spacing w:before="240" w:after="60"/>
              <w:rPr>
                <w:rFonts w:ascii="Arial" w:hAnsi="Arial" w:cs="Times New Roman"/>
                <w:b/>
                <w:sz w:val="22"/>
                <w:szCs w:val="20"/>
                <w:lang w:eastAsia="en-US" w:bidi="ar-SA"/>
              </w:rPr>
            </w:pPr>
            <w:r w:rsidRPr="005630B0">
              <w:rPr>
                <w:rFonts w:cs="Times New Roman"/>
                <w:color w:val="0000FF"/>
                <w:szCs w:val="20"/>
                <w:u w:val="single"/>
                <w:lang w:eastAsia="en-US" w:bidi="ar-SA"/>
              </w:rPr>
              <w:t xml:space="preserve">In rats, fertility in both sexes was unaffected by oxcarbazepine or MHD at oral doses up to 150 and 450 mg/kg/day, respectively.  </w:t>
            </w:r>
            <w:r w:rsidRPr="005630B0">
              <w:rPr>
                <w:rFonts w:cs="Times New Roman"/>
                <w:color w:val="0000FF"/>
                <w:szCs w:val="20"/>
                <w:highlight w:val="yellow"/>
                <w:u w:val="single"/>
                <w:lang w:eastAsia="en-US" w:bidi="ar-SA"/>
              </w:rPr>
              <w:t xml:space="preserve">However, disruption of estrous </w:t>
            </w:r>
            <w:proofErr w:type="spellStart"/>
            <w:r w:rsidRPr="005630B0">
              <w:rPr>
                <w:rFonts w:cs="Times New Roman"/>
                <w:color w:val="0000FF"/>
                <w:szCs w:val="20"/>
                <w:highlight w:val="yellow"/>
                <w:u w:val="single"/>
                <w:lang w:eastAsia="en-US" w:bidi="ar-SA"/>
              </w:rPr>
              <w:t>cyclicity</w:t>
            </w:r>
            <w:proofErr w:type="spellEnd"/>
            <w:r w:rsidRPr="005630B0">
              <w:rPr>
                <w:rFonts w:cs="Times New Roman"/>
                <w:color w:val="0000FF"/>
                <w:szCs w:val="20"/>
                <w:highlight w:val="yellow"/>
                <w:u w:val="single"/>
                <w:lang w:eastAsia="en-US" w:bidi="ar-SA"/>
              </w:rPr>
              <w:t xml:space="preserve"> and reduced numbers of corpora </w:t>
            </w:r>
            <w:proofErr w:type="spellStart"/>
            <w:r w:rsidRPr="005630B0">
              <w:rPr>
                <w:rFonts w:cs="Times New Roman"/>
                <w:color w:val="0000FF"/>
                <w:szCs w:val="20"/>
                <w:highlight w:val="yellow"/>
                <w:u w:val="single"/>
                <w:lang w:eastAsia="en-US" w:bidi="ar-SA"/>
              </w:rPr>
              <w:t>lutea</w:t>
            </w:r>
            <w:proofErr w:type="spellEnd"/>
            <w:r w:rsidRPr="005630B0">
              <w:rPr>
                <w:rFonts w:cs="Times New Roman"/>
                <w:color w:val="0000FF"/>
                <w:szCs w:val="20"/>
                <w:highlight w:val="yellow"/>
                <w:u w:val="single"/>
                <w:lang w:eastAsia="en-US" w:bidi="ar-SA"/>
              </w:rPr>
              <w:t>, implantations and live embryos were observed in female animals at the highest dose of MHD.</w:t>
            </w:r>
          </w:p>
        </w:tc>
      </w:tr>
    </w:tbl>
    <w:p w:rsidR="00570270" w:rsidRDefault="00570270" w:rsidP="00D518D0">
      <w:pPr>
        <w:ind w:right="-142"/>
        <w:rPr>
          <w:rFonts w:cs="David Transparent"/>
          <w:sz w:val="20"/>
          <w:szCs w:val="20"/>
        </w:rPr>
      </w:pPr>
    </w:p>
    <w:p w:rsidR="00570270" w:rsidRDefault="00570270" w:rsidP="00D518D0">
      <w:pPr>
        <w:ind w:right="-142"/>
        <w:rPr>
          <w:rFonts w:cs="David Transparent"/>
          <w:sz w:val="20"/>
          <w:szCs w:val="20"/>
        </w:rPr>
      </w:pPr>
    </w:p>
    <w:p w:rsidR="00D518D0" w:rsidRPr="00E71441" w:rsidRDefault="00D518D0" w:rsidP="00D518D0">
      <w:pPr>
        <w:ind w:right="-142"/>
        <w:rPr>
          <w:b/>
          <w:bCs/>
          <w:rtl/>
        </w:rPr>
      </w:pPr>
      <w:r w:rsidRPr="007125E3">
        <w:rPr>
          <w:rFonts w:hint="cs"/>
          <w:b/>
          <w:bCs/>
          <w:rtl/>
        </w:rPr>
        <w:t xml:space="preserve">מצ"ב העלון שבו מסומנות ההחמרות </w:t>
      </w:r>
      <w:r w:rsidRPr="00E71441">
        <w:rPr>
          <w:rFonts w:hint="cs"/>
          <w:b/>
          <w:bCs/>
          <w:rtl/>
        </w:rPr>
        <w:t>המבוקשות על רקע צהוב.</w:t>
      </w:r>
    </w:p>
    <w:p w:rsidR="00D518D0" w:rsidRPr="00E71441" w:rsidRDefault="00D518D0" w:rsidP="00D518D0">
      <w:pPr>
        <w:pBdr>
          <w:bottom w:val="single" w:sz="12" w:space="1" w:color="auto"/>
        </w:pBdr>
        <w:ind w:right="-142"/>
        <w:rPr>
          <w:rtl/>
        </w:rPr>
      </w:pPr>
      <w:r w:rsidRPr="00E71441">
        <w:rPr>
          <w:rFonts w:hint="cs"/>
          <w:rtl/>
        </w:rPr>
        <w:t>שינויים שאינם בגדר החמרות סומנו (</w:t>
      </w:r>
      <w:r w:rsidRPr="00E71441">
        <w:rPr>
          <w:rFonts w:hint="cs"/>
          <w:u w:val="single"/>
          <w:rtl/>
        </w:rPr>
        <w:t>בעלון</w:t>
      </w:r>
      <w:r w:rsidRPr="00E71441">
        <w:rPr>
          <w:rFonts w:hint="cs"/>
          <w:rtl/>
        </w:rPr>
        <w:t>) בצבע שונה. יש לסמן רק תוכן מהותי ולא שינויים במיקום הטקסט.</w:t>
      </w:r>
    </w:p>
    <w:p w:rsidR="00D518D0" w:rsidRPr="00E71441" w:rsidRDefault="00D518D0" w:rsidP="00D518D0">
      <w:pPr>
        <w:pBdr>
          <w:bottom w:val="single" w:sz="12" w:space="1" w:color="auto"/>
        </w:pBdr>
        <w:ind w:right="-142"/>
        <w:rPr>
          <w:rtl/>
        </w:rPr>
      </w:pPr>
    </w:p>
    <w:p w:rsidR="00D518D0" w:rsidRPr="00E71441" w:rsidRDefault="00D518D0" w:rsidP="00D518D0">
      <w:pPr>
        <w:ind w:right="-142"/>
        <w:rPr>
          <w:rFonts w:cs="David Transparent"/>
          <w:sz w:val="18"/>
          <w:szCs w:val="18"/>
          <w:rtl/>
        </w:rPr>
      </w:pPr>
    </w:p>
    <w:p w:rsidR="006D77DD" w:rsidRDefault="00D2477C" w:rsidP="00570270">
      <w:pPr>
        <w:pStyle w:val="1"/>
        <w:ind w:right="-142"/>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7598B">
        <w:rPr>
          <w:rFonts w:cs="David Transparent"/>
          <w:color w:val="C0C0C0"/>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6D77DD"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הודעה על </w:t>
      </w:r>
      <w:r w:rsidR="006D77DD"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006D77DD"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006D77DD"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sidR="006D77DD">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לצרכן</w:t>
      </w:r>
    </w:p>
    <w:p w:rsidR="006D77DD" w:rsidRPr="0077598B" w:rsidRDefault="006D77DD" w:rsidP="00C05445">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Pr="0077598B">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6D77DD" w:rsidRDefault="006D77DD" w:rsidP="00C05445">
      <w:pPr>
        <w:rPr>
          <w:b/>
          <w:bCs/>
          <w:rtl/>
        </w:rPr>
      </w:pPr>
    </w:p>
    <w:p w:rsidR="006D77DD" w:rsidRPr="00D3782D" w:rsidRDefault="006D77DD" w:rsidP="00C05445">
      <w:pPr>
        <w:spacing w:line="360" w:lineRule="auto"/>
        <w:rPr>
          <w:rFonts w:cs="David Transparent"/>
          <w:sz w:val="20"/>
          <w:szCs w:val="20"/>
          <w:rtl/>
        </w:rPr>
      </w:pPr>
      <w:r w:rsidRPr="00FC10E6">
        <w:rPr>
          <w:rFonts w:cs="David Transparent" w:hint="cs"/>
          <w:b/>
          <w:bCs/>
          <w:rtl/>
        </w:rPr>
        <w:t>תאריך:</w:t>
      </w:r>
      <w:r w:rsidRPr="00D3782D">
        <w:rPr>
          <w:rFonts w:cs="David Transparent" w:hint="cs"/>
          <w:rtl/>
        </w:rPr>
        <w:tab/>
      </w:r>
    </w:p>
    <w:p w:rsidR="006D77DD" w:rsidRDefault="006D77DD" w:rsidP="00570270">
      <w:pPr>
        <w:spacing w:line="360" w:lineRule="auto"/>
        <w:rPr>
          <w:rFonts w:cs="David Transparent"/>
          <w:b/>
          <w:bCs/>
        </w:rPr>
      </w:pPr>
      <w:r w:rsidRPr="00FC10E6">
        <w:rPr>
          <w:rFonts w:cs="David Transparent" w:hint="cs"/>
          <w:b/>
          <w:bCs/>
          <w:rtl/>
        </w:rPr>
        <w:t>שם תכשיר באנגלית:</w:t>
      </w:r>
      <w:r w:rsidRPr="00FC10E6">
        <w:rPr>
          <w:rFonts w:cs="David Transparent" w:hint="cs"/>
          <w:b/>
          <w:bCs/>
          <w:rtl/>
        </w:rPr>
        <w:tab/>
      </w:r>
      <w:r w:rsidR="00570270">
        <w:rPr>
          <w:rFonts w:cs="David Transparent"/>
          <w:b/>
          <w:bCs/>
        </w:rPr>
        <w:t>Trileptin 300mg, 600mg</w:t>
      </w:r>
    </w:p>
    <w:p w:rsidR="006D77DD" w:rsidRPr="00FC10E6" w:rsidRDefault="006D77DD" w:rsidP="00570270">
      <w:pPr>
        <w:spacing w:line="360" w:lineRule="auto"/>
        <w:rPr>
          <w:rFonts w:cs="David Transparent"/>
          <w:b/>
          <w:bCs/>
          <w:rtl/>
        </w:rPr>
      </w:pPr>
      <w:r w:rsidRPr="00FC10E6">
        <w:rPr>
          <w:rFonts w:cs="David Transparent" w:hint="cs"/>
          <w:b/>
          <w:bCs/>
          <w:rtl/>
        </w:rPr>
        <w:t xml:space="preserve">מספר </w:t>
      </w:r>
      <w:r>
        <w:rPr>
          <w:rFonts w:cs="David Transparent" w:hint="cs"/>
          <w:b/>
          <w:bCs/>
          <w:rtl/>
        </w:rPr>
        <w:t>ה</w:t>
      </w:r>
      <w:r w:rsidRPr="00FC10E6">
        <w:rPr>
          <w:rFonts w:cs="David Transparent" w:hint="cs"/>
          <w:b/>
          <w:bCs/>
          <w:rtl/>
        </w:rPr>
        <w:t>רישום:</w:t>
      </w:r>
      <w:r w:rsidRPr="00FC10E6">
        <w:rPr>
          <w:rFonts w:cs="David Transparent" w:hint="cs"/>
          <w:b/>
          <w:bCs/>
          <w:rtl/>
        </w:rPr>
        <w:tab/>
      </w:r>
      <w:r>
        <w:rPr>
          <w:rFonts w:cs="David Transparent"/>
          <w:b/>
          <w:bCs/>
        </w:rPr>
        <w:t>[</w:t>
      </w:r>
      <w:r w:rsidR="00570270">
        <w:rPr>
          <w:rFonts w:cs="David Transparent"/>
          <w:b/>
          <w:bCs/>
        </w:rPr>
        <w:t>28707-8</w:t>
      </w:r>
      <w:r>
        <w:rPr>
          <w:rFonts w:cs="David Transparent"/>
          <w:b/>
          <w:bCs/>
        </w:rPr>
        <w:t>]</w:t>
      </w:r>
    </w:p>
    <w:p w:rsidR="006D77DD" w:rsidRPr="001A608C" w:rsidRDefault="006D77DD" w:rsidP="00C05445">
      <w:pPr>
        <w:spacing w:line="360" w:lineRule="auto"/>
        <w:rPr>
          <w:rFonts w:cs="David Transparent"/>
          <w:szCs w:val="28"/>
          <w:rtl/>
        </w:rPr>
      </w:pPr>
      <w:r w:rsidRPr="00FC10E6">
        <w:rPr>
          <w:rFonts w:cs="David Transparent" w:hint="cs"/>
          <w:b/>
          <w:bCs/>
          <w:rtl/>
        </w:rPr>
        <w:t>שם בעל הרישום:</w:t>
      </w:r>
      <w:r>
        <w:rPr>
          <w:rFonts w:cs="David Transparent" w:hint="cs"/>
          <w:rtl/>
        </w:rPr>
        <w:tab/>
        <w:t>נוברטיס פארמה סרויסס איי ג'י</w:t>
      </w:r>
    </w:p>
    <w:p w:rsidR="006D77DD" w:rsidRDefault="006D77DD" w:rsidP="00C05445">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af"/>
        <w:bidiVisual/>
        <w:tblW w:w="0" w:type="auto"/>
        <w:tblLook w:val="04A0" w:firstRow="1" w:lastRow="0" w:firstColumn="1" w:lastColumn="0" w:noHBand="0" w:noVBand="1"/>
      </w:tblPr>
      <w:tblGrid>
        <w:gridCol w:w="4557"/>
      </w:tblGrid>
      <w:tr w:rsidR="006D77DD" w:rsidTr="00F723B1">
        <w:trPr>
          <w:trHeight w:val="1194"/>
        </w:trPr>
        <w:tc>
          <w:tcPr>
            <w:tcW w:w="4557" w:type="dxa"/>
            <w:vAlign w:val="center"/>
          </w:tcPr>
          <w:p w:rsidR="006D77DD" w:rsidRPr="001A608C" w:rsidRDefault="006D77DD" w:rsidP="006D77DD">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6D77DD" w:rsidRPr="001A608C" w:rsidRDefault="006D77DD" w:rsidP="006D77DD">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6D77DD" w:rsidRPr="001A608C" w:rsidRDefault="006D77DD" w:rsidP="006D77DD">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6D77DD" w:rsidRDefault="006D77DD" w:rsidP="006D77DD">
            <w:pPr>
              <w:rPr>
                <w:rFonts w:ascii="Calibri" w:hAnsi="Calibri"/>
                <w:sz w:val="20"/>
                <w:szCs w:val="20"/>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p w:rsidR="00F723B1" w:rsidRPr="00F723B1" w:rsidRDefault="00F723B1" w:rsidP="00F723B1">
            <w:pPr>
              <w:rPr>
                <w:b/>
                <w:bCs/>
                <w:sz w:val="20"/>
                <w:szCs w:val="20"/>
                <w:rtl/>
              </w:rPr>
            </w:pPr>
            <w:r w:rsidRPr="00F723B1">
              <w:rPr>
                <w:rFonts w:ascii="Arial" w:hAnsi="Arial" w:hint="cs"/>
                <w:color w:val="00B050"/>
                <w:sz w:val="20"/>
                <w:szCs w:val="20"/>
                <w:rtl/>
              </w:rPr>
              <w:t>טקסט ירוק</w:t>
            </w:r>
            <w:r>
              <w:rPr>
                <w:rFonts w:ascii="Arial" w:hAnsi="Arial" w:hint="cs"/>
                <w:sz w:val="20"/>
                <w:szCs w:val="20"/>
                <w:rtl/>
              </w:rPr>
              <w:t xml:space="preserve"> - </w:t>
            </w:r>
            <w:r w:rsidRPr="00F723B1">
              <w:rPr>
                <w:rFonts w:ascii="Arial" w:hAnsi="Arial" w:hint="cs"/>
                <w:sz w:val="20"/>
                <w:szCs w:val="20"/>
                <w:rtl/>
              </w:rPr>
              <w:t>שינויים הנובעים מהמעבר לפורמט החדש</w:t>
            </w:r>
          </w:p>
        </w:tc>
      </w:tr>
    </w:tbl>
    <w:p w:rsidR="006D77DD" w:rsidRPr="008E7296" w:rsidRDefault="006D77DD" w:rsidP="006D77DD">
      <w:pPr>
        <w:spacing w:line="360" w:lineRule="auto"/>
        <w:ind w:left="-694" w:firstLine="551"/>
      </w:pPr>
    </w:p>
    <w:tbl>
      <w:tblPr>
        <w:bidiVisual/>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44"/>
        <w:gridCol w:w="3870"/>
        <w:gridCol w:w="3870"/>
      </w:tblGrid>
      <w:tr w:rsidR="000C2846" w:rsidTr="001E3529">
        <w:trPr>
          <w:jc w:val="center"/>
        </w:trPr>
        <w:tc>
          <w:tcPr>
            <w:tcW w:w="9784" w:type="dxa"/>
            <w:gridSpan w:val="3"/>
            <w:shd w:val="pct12" w:color="auto" w:fill="FFFFFF"/>
            <w:vAlign w:val="center"/>
          </w:tcPr>
          <w:p w:rsidR="000C2846" w:rsidRDefault="00825FD2" w:rsidP="00F16A1D">
            <w:pPr>
              <w:jc w:val="center"/>
              <w:rPr>
                <w:rFonts w:cs="David Transparent"/>
                <w:b/>
                <w:bCs/>
                <w:rtl/>
              </w:rPr>
            </w:pPr>
            <w:r>
              <w:rPr>
                <w:rFonts w:cs="David Transparent" w:hint="cs"/>
                <w:b/>
                <w:bCs/>
                <w:rtl/>
              </w:rPr>
              <w:t>ההחמרות המבוקשות</w:t>
            </w:r>
          </w:p>
        </w:tc>
      </w:tr>
      <w:tr w:rsidR="000C2846" w:rsidTr="001E3529">
        <w:trPr>
          <w:jc w:val="center"/>
        </w:trPr>
        <w:tc>
          <w:tcPr>
            <w:tcW w:w="2044" w:type="dxa"/>
          </w:tcPr>
          <w:p w:rsidR="000C2846" w:rsidRDefault="000C2846" w:rsidP="00F16A1D">
            <w:pPr>
              <w:spacing w:before="60"/>
              <w:jc w:val="center"/>
              <w:rPr>
                <w:rFonts w:cs="David Transparent"/>
                <w:b/>
                <w:bCs/>
                <w:szCs w:val="22"/>
                <w:rtl/>
              </w:rPr>
            </w:pPr>
            <w:r>
              <w:rPr>
                <w:rFonts w:cs="David Transparent"/>
                <w:b/>
                <w:bCs/>
                <w:szCs w:val="22"/>
                <w:rtl/>
              </w:rPr>
              <w:t>פרק בעלון</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w:t>
            </w:r>
            <w:r>
              <w:rPr>
                <w:rFonts w:cs="David Transparent" w:hint="cs"/>
                <w:b/>
                <w:bCs/>
                <w:szCs w:val="22"/>
                <w:rtl/>
              </w:rPr>
              <w:t xml:space="preserve"> נוכחי</w:t>
            </w:r>
          </w:p>
        </w:tc>
        <w:tc>
          <w:tcPr>
            <w:tcW w:w="3870" w:type="dxa"/>
          </w:tcPr>
          <w:p w:rsidR="000C2846" w:rsidRDefault="000C2846" w:rsidP="00F16A1D">
            <w:pPr>
              <w:spacing w:before="60"/>
              <w:jc w:val="center"/>
              <w:rPr>
                <w:rFonts w:cs="David Transparent"/>
                <w:b/>
                <w:bCs/>
                <w:szCs w:val="22"/>
                <w:rtl/>
              </w:rPr>
            </w:pPr>
            <w:r>
              <w:rPr>
                <w:rFonts w:cs="David Transparent"/>
                <w:b/>
                <w:bCs/>
                <w:szCs w:val="22"/>
                <w:rtl/>
              </w:rPr>
              <w:t>טקסט חדש</w:t>
            </w:r>
          </w:p>
        </w:tc>
      </w:tr>
      <w:tr w:rsidR="00D93FF9" w:rsidTr="001E3529">
        <w:trPr>
          <w:jc w:val="center"/>
        </w:trPr>
        <w:tc>
          <w:tcPr>
            <w:tcW w:w="2044" w:type="dxa"/>
          </w:tcPr>
          <w:p w:rsidR="00D93FF9" w:rsidRDefault="00D93FF9" w:rsidP="006675BB">
            <w:pPr>
              <w:spacing w:before="60"/>
              <w:rPr>
                <w:b/>
                <w:bCs/>
                <w:rtl/>
              </w:rPr>
            </w:pPr>
            <w:r>
              <w:rPr>
                <w:rFonts w:hint="cs"/>
                <w:b/>
                <w:bCs/>
                <w:rtl/>
              </w:rPr>
              <w:t>אזהרות מיוחדות הנוגעות לשימוש בתרופה</w:t>
            </w:r>
          </w:p>
        </w:tc>
        <w:tc>
          <w:tcPr>
            <w:tcW w:w="3870" w:type="dxa"/>
          </w:tcPr>
          <w:p w:rsidR="00CF355A" w:rsidRPr="00CF355A" w:rsidRDefault="00CF355A" w:rsidP="00CF355A">
            <w:pPr>
              <w:rPr>
                <w:b/>
                <w:bCs/>
                <w:rtl/>
              </w:rPr>
            </w:pPr>
            <w:r w:rsidRPr="00CF355A">
              <w:rPr>
                <w:rFonts w:hint="cs"/>
                <w:b/>
                <w:bCs/>
                <w:rtl/>
              </w:rPr>
              <w:t>במידה והינך מפתח אחד מהסימפטומים הבאים לאחר התחלת הטיפול בטרילפטין, פנה מיד לרופא או לחדר מיון בבית החולים הקרוב ביותר לביתך:</w:t>
            </w:r>
          </w:p>
          <w:p w:rsidR="00CF355A" w:rsidRDefault="00CF355A" w:rsidP="00CF355A">
            <w:pPr>
              <w:rPr>
                <w:rtl/>
              </w:rPr>
            </w:pPr>
            <w:r>
              <w:rPr>
                <w:rFonts w:hint="cs"/>
                <w:rtl/>
              </w:rPr>
              <w:t>...</w:t>
            </w:r>
          </w:p>
          <w:p w:rsidR="00CF355A" w:rsidRDefault="00CF355A" w:rsidP="00CF355A">
            <w:pPr>
              <w:rPr>
                <w:rtl/>
              </w:rPr>
            </w:pPr>
          </w:p>
          <w:p w:rsidR="00CF355A" w:rsidRDefault="00CF355A" w:rsidP="00CF355A">
            <w:pPr>
              <w:rPr>
                <w:rtl/>
              </w:rPr>
            </w:pPr>
          </w:p>
          <w:p w:rsidR="00CF355A" w:rsidRDefault="00CF355A" w:rsidP="00CF355A">
            <w:pPr>
              <w:rPr>
                <w:rtl/>
              </w:rPr>
            </w:pPr>
          </w:p>
          <w:p w:rsidR="00CF355A" w:rsidRDefault="00CF355A" w:rsidP="00CF355A">
            <w:pPr>
              <w:rPr>
                <w:rtl/>
              </w:rPr>
            </w:pPr>
          </w:p>
          <w:p w:rsidR="00CF355A" w:rsidRDefault="00CF355A" w:rsidP="00CF355A">
            <w:pPr>
              <w:rPr>
                <w:rtl/>
              </w:rPr>
            </w:pPr>
          </w:p>
          <w:p w:rsidR="004E11D8" w:rsidRDefault="004E11D8" w:rsidP="00CF355A">
            <w:pPr>
              <w:rPr>
                <w:rtl/>
              </w:rPr>
            </w:pPr>
          </w:p>
          <w:p w:rsidR="00CF355A" w:rsidRDefault="00CF355A" w:rsidP="00CF355A">
            <w:pPr>
              <w:rPr>
                <w:rtl/>
              </w:rPr>
            </w:pPr>
          </w:p>
          <w:p w:rsidR="00CF355A" w:rsidRDefault="00CF355A" w:rsidP="00CF355A">
            <w:pPr>
              <w:rPr>
                <w:rtl/>
              </w:rPr>
            </w:pPr>
          </w:p>
          <w:p w:rsidR="00CF355A" w:rsidRDefault="00CF355A" w:rsidP="00CF355A">
            <w:pPr>
              <w:rPr>
                <w:rtl/>
              </w:rPr>
            </w:pPr>
          </w:p>
          <w:p w:rsidR="00CF355A" w:rsidRDefault="00CF355A" w:rsidP="00CF355A">
            <w:pPr>
              <w:rPr>
                <w:rtl/>
              </w:rPr>
            </w:pPr>
          </w:p>
          <w:p w:rsidR="00CF355A" w:rsidRDefault="00CF355A" w:rsidP="00CF355A">
            <w:pPr>
              <w:rPr>
                <w:rtl/>
              </w:rPr>
            </w:pPr>
          </w:p>
          <w:p w:rsidR="00CF355A" w:rsidRDefault="00CF355A" w:rsidP="00CF355A">
            <w:pPr>
              <w:rPr>
                <w:rtl/>
              </w:rPr>
            </w:pPr>
          </w:p>
          <w:p w:rsidR="00CF355A" w:rsidRPr="00CF355A" w:rsidRDefault="00CF355A" w:rsidP="00CF355A"/>
          <w:p w:rsidR="00CF355A" w:rsidRPr="00CF355A" w:rsidRDefault="00CF355A" w:rsidP="00CF355A">
            <w:pPr>
              <w:rPr>
                <w:b/>
                <w:bCs/>
                <w:rtl/>
              </w:rPr>
            </w:pPr>
            <w:r w:rsidRPr="00CF355A">
              <w:rPr>
                <w:rFonts w:hint="cs"/>
                <w:b/>
                <w:bCs/>
                <w:rtl/>
              </w:rPr>
              <w:t>במידה והינך מפתח אחד מהסימפטומים הבאים לאחר התחלת הטיפול בטרילפטין, פנה לרופא בהקדם האפשרי:</w:t>
            </w:r>
          </w:p>
          <w:p w:rsidR="00D93FF9" w:rsidRPr="00DF4B49" w:rsidRDefault="00CF355A" w:rsidP="00433A2A">
            <w:pPr>
              <w:rPr>
                <w:rtl/>
              </w:rPr>
            </w:pPr>
            <w:r>
              <w:rPr>
                <w:rFonts w:hint="cs"/>
                <w:b/>
                <w:bCs/>
                <w:rtl/>
              </w:rPr>
              <w:t xml:space="preserve">אם </w:t>
            </w:r>
            <w:r w:rsidRPr="00CF355A">
              <w:rPr>
                <w:rFonts w:hint="cs"/>
                <w:b/>
                <w:bCs/>
                <w:rtl/>
              </w:rPr>
              <w:t>הדופק שלך מהיר או איטי באופן לא רגיל</w:t>
            </w:r>
            <w:r w:rsidRPr="00CF355A">
              <w:rPr>
                <w:rFonts w:hint="cs"/>
                <w:rtl/>
              </w:rPr>
              <w:t>.</w:t>
            </w:r>
          </w:p>
        </w:tc>
        <w:tc>
          <w:tcPr>
            <w:tcW w:w="3870" w:type="dxa"/>
          </w:tcPr>
          <w:p w:rsidR="00CF355A" w:rsidRPr="00722FD2" w:rsidRDefault="00CF355A" w:rsidP="004E11D8">
            <w:pPr>
              <w:rPr>
                <w:b/>
                <w:bCs/>
                <w:rtl/>
              </w:rPr>
            </w:pPr>
            <w:r w:rsidRPr="00CF355A">
              <w:rPr>
                <w:rFonts w:hint="cs"/>
                <w:b/>
                <w:bCs/>
                <w:strike/>
                <w:color w:val="0000FF"/>
                <w:rtl/>
              </w:rPr>
              <w:t>במידה והינך</w:t>
            </w:r>
            <w:r w:rsidRPr="00CF355A">
              <w:rPr>
                <w:rFonts w:hint="cs"/>
                <w:b/>
                <w:bCs/>
                <w:color w:val="0000FF"/>
                <w:u w:val="single"/>
                <w:rtl/>
              </w:rPr>
              <w:t>אם אתה</w:t>
            </w:r>
            <w:r w:rsidRPr="00CF355A">
              <w:rPr>
                <w:rFonts w:hint="cs"/>
                <w:b/>
                <w:bCs/>
                <w:color w:val="0000FF"/>
                <w:rtl/>
              </w:rPr>
              <w:t xml:space="preserve"> </w:t>
            </w:r>
            <w:r w:rsidRPr="00722FD2">
              <w:rPr>
                <w:rFonts w:hint="cs"/>
                <w:b/>
                <w:bCs/>
                <w:rtl/>
              </w:rPr>
              <w:t xml:space="preserve">מפתח אחד מהסימפטומים הבאים לאחר התחלת הטיפול בטרילפטין, פנה מיד לרופא או לחדר מיון בבית החולים הקרוב ביותר </w:t>
            </w:r>
            <w:r w:rsidRPr="00CF355A">
              <w:rPr>
                <w:rFonts w:hint="cs"/>
                <w:b/>
                <w:bCs/>
                <w:strike/>
                <w:color w:val="0000FF"/>
                <w:rtl/>
              </w:rPr>
              <w:t>לביתך</w:t>
            </w:r>
            <w:r w:rsidRPr="00722FD2">
              <w:rPr>
                <w:rFonts w:hint="cs"/>
                <w:b/>
                <w:bCs/>
                <w:rtl/>
              </w:rPr>
              <w:t>:</w:t>
            </w:r>
          </w:p>
          <w:p w:rsidR="00CF355A" w:rsidRPr="00CF355A" w:rsidRDefault="00CF355A" w:rsidP="004E11D8">
            <w:pPr>
              <w:rPr>
                <w:color w:val="0000FF"/>
                <w:rtl/>
              </w:rPr>
            </w:pPr>
            <w:r w:rsidRPr="00CF355A">
              <w:rPr>
                <w:rFonts w:hint="cs"/>
                <w:color w:val="0000FF"/>
                <w:rtl/>
              </w:rPr>
              <w:t>...</w:t>
            </w:r>
          </w:p>
          <w:p w:rsidR="00D93FF9" w:rsidRDefault="00D93FF9" w:rsidP="004E11D8">
            <w:pPr>
              <w:rPr>
                <w:color w:val="0000FF"/>
                <w:u w:val="single"/>
                <w:rtl/>
              </w:rPr>
            </w:pPr>
            <w:r>
              <w:rPr>
                <w:rFonts w:hint="cs"/>
                <w:color w:val="0000FF"/>
                <w:highlight w:val="yellow"/>
                <w:u w:val="single"/>
                <w:rtl/>
              </w:rPr>
              <w:t>אם אתה מפתח תגובות עוריות חמורות כגון פריחה, עור אדום, שלפוחיות על השפתיים, עיניים או הפה, התקלפות העור המלווה בחום (ראה 'תופעות לוואי'). תופעות אלה עשויות להיות שכיחות יותר במטופלים במדינות אסיאתיות מסוימות (למשל טיוואן, מלזיה והפיליפינים) ובמטופלים ממוצא סיני.</w:t>
            </w:r>
          </w:p>
          <w:p w:rsidR="00CF355A" w:rsidRDefault="00CF355A" w:rsidP="004E11D8">
            <w:pPr>
              <w:rPr>
                <w:color w:val="0000FF"/>
                <w:u w:val="single"/>
                <w:rtl/>
              </w:rPr>
            </w:pPr>
            <w:r w:rsidRPr="00CF355A">
              <w:rPr>
                <w:rFonts w:hint="cs"/>
                <w:color w:val="0000FF"/>
                <w:highlight w:val="yellow"/>
                <w:u w:val="single"/>
                <w:rtl/>
              </w:rPr>
              <w:t xml:space="preserve">אם אתה חווה </w:t>
            </w:r>
            <w:r w:rsidRPr="00CF355A">
              <w:rPr>
                <w:rFonts w:hint="cs"/>
                <w:b/>
                <w:bCs/>
                <w:color w:val="0000FF"/>
                <w:highlight w:val="yellow"/>
                <w:u w:val="single"/>
                <w:rtl/>
              </w:rPr>
              <w:t>עלייה בשכיחות ההתקפים</w:t>
            </w:r>
            <w:r w:rsidRPr="00CF355A">
              <w:rPr>
                <w:rFonts w:hint="cs"/>
                <w:color w:val="0000FF"/>
                <w:highlight w:val="yellow"/>
                <w:u w:val="single"/>
                <w:rtl/>
              </w:rPr>
              <w:t xml:space="preserve">. זה </w:t>
            </w:r>
            <w:r w:rsidRPr="00CF355A">
              <w:rPr>
                <w:rFonts w:hint="cs"/>
                <w:b/>
                <w:bCs/>
                <w:color w:val="0000FF"/>
                <w:highlight w:val="yellow"/>
                <w:u w:val="single"/>
                <w:rtl/>
              </w:rPr>
              <w:t>חשוב במיוחד עבור ילדים</w:t>
            </w:r>
            <w:r w:rsidRPr="00CF355A">
              <w:rPr>
                <w:rFonts w:hint="cs"/>
                <w:color w:val="0000FF"/>
                <w:highlight w:val="yellow"/>
                <w:u w:val="single"/>
                <w:rtl/>
              </w:rPr>
              <w:t xml:space="preserve"> אך עשוי להתרחש גם במבוגרים.</w:t>
            </w:r>
          </w:p>
          <w:p w:rsidR="00CF355A" w:rsidRPr="00CF355A" w:rsidRDefault="00CF355A" w:rsidP="004E11D8">
            <w:pPr>
              <w:rPr>
                <w:color w:val="0000FF"/>
                <w:rtl/>
              </w:rPr>
            </w:pPr>
            <w:r w:rsidRPr="00CF355A">
              <w:rPr>
                <w:rFonts w:hint="cs"/>
                <w:color w:val="0000FF"/>
                <w:rtl/>
              </w:rPr>
              <w:t>...</w:t>
            </w:r>
          </w:p>
          <w:p w:rsidR="00CF355A" w:rsidRPr="00CF355A" w:rsidRDefault="00CF355A" w:rsidP="004E11D8">
            <w:pPr>
              <w:rPr>
                <w:b/>
                <w:bCs/>
                <w:strike/>
                <w:color w:val="0000FF"/>
                <w:rtl/>
              </w:rPr>
            </w:pPr>
            <w:r w:rsidRPr="00CF355A">
              <w:rPr>
                <w:rFonts w:hint="cs"/>
                <w:b/>
                <w:bCs/>
                <w:strike/>
                <w:color w:val="0000FF"/>
                <w:rtl/>
              </w:rPr>
              <w:t>במידה והינך מפתח אחד מהסימפטומים הבאים לאחר התחלת הטיפול בטרילפטין, פנה לרופא בהקדם האפשרי:</w:t>
            </w:r>
          </w:p>
          <w:p w:rsidR="00CF355A" w:rsidRPr="00CF355A" w:rsidRDefault="00CF355A" w:rsidP="004E11D8">
            <w:pPr>
              <w:rPr>
                <w:color w:val="0000FF"/>
                <w:u w:val="single"/>
                <w:rtl/>
              </w:rPr>
            </w:pPr>
            <w:r w:rsidRPr="00CF355A">
              <w:rPr>
                <w:rFonts w:hint="cs"/>
                <w:b/>
                <w:bCs/>
                <w:highlight w:val="yellow"/>
                <w:rtl/>
              </w:rPr>
              <w:t xml:space="preserve">אם </w:t>
            </w:r>
            <w:r w:rsidRPr="008953A1">
              <w:rPr>
                <w:rFonts w:hint="cs"/>
                <w:b/>
                <w:bCs/>
                <w:highlight w:val="yellow"/>
                <w:rtl/>
              </w:rPr>
              <w:t>הדופק שלך מהיר או איטי באופן לא רגיל</w:t>
            </w:r>
            <w:r w:rsidRPr="008953A1">
              <w:rPr>
                <w:rFonts w:hint="cs"/>
                <w:highlight w:val="yellow"/>
                <w:rtl/>
              </w:rPr>
              <w:t>.</w:t>
            </w:r>
          </w:p>
        </w:tc>
      </w:tr>
      <w:tr w:rsidR="004E11D8" w:rsidTr="001E3529">
        <w:trPr>
          <w:jc w:val="center"/>
        </w:trPr>
        <w:tc>
          <w:tcPr>
            <w:tcW w:w="2044" w:type="dxa"/>
          </w:tcPr>
          <w:p w:rsidR="004E11D8" w:rsidRPr="00EA39C0" w:rsidRDefault="00EA39C0" w:rsidP="006675BB">
            <w:pPr>
              <w:spacing w:before="60"/>
              <w:rPr>
                <w:b/>
                <w:bCs/>
                <w:rtl/>
              </w:rPr>
            </w:pPr>
            <w:r w:rsidRPr="00EA39C0">
              <w:rPr>
                <w:b/>
                <w:bCs/>
                <w:rtl/>
              </w:rPr>
              <w:t>ילדים ומתבגרים</w:t>
            </w:r>
          </w:p>
        </w:tc>
        <w:tc>
          <w:tcPr>
            <w:tcW w:w="3870" w:type="dxa"/>
          </w:tcPr>
          <w:p w:rsidR="004E11D8" w:rsidRPr="00DF4B49" w:rsidRDefault="004E11D8" w:rsidP="00433A2A">
            <w:pPr>
              <w:rPr>
                <w:rtl/>
              </w:rPr>
            </w:pPr>
          </w:p>
        </w:tc>
        <w:tc>
          <w:tcPr>
            <w:tcW w:w="3870" w:type="dxa"/>
          </w:tcPr>
          <w:p w:rsidR="004E11D8" w:rsidRDefault="004E11D8" w:rsidP="004E11D8">
            <w:pPr>
              <w:rPr>
                <w:rtl/>
              </w:rPr>
            </w:pPr>
            <w:r w:rsidRPr="005301A3">
              <w:rPr>
                <w:rFonts w:hint="cs"/>
                <w:b/>
                <w:bCs/>
                <w:color w:val="00B050"/>
                <w:rtl/>
              </w:rPr>
              <w:t>ילדים</w:t>
            </w:r>
            <w:r>
              <w:rPr>
                <w:rFonts w:hint="cs"/>
                <w:b/>
                <w:bCs/>
                <w:color w:val="00B050"/>
                <w:rtl/>
              </w:rPr>
              <w:t xml:space="preserve"> </w:t>
            </w:r>
            <w:r w:rsidRPr="004E11D8">
              <w:rPr>
                <w:rFonts w:hint="cs"/>
                <w:b/>
                <w:bCs/>
                <w:color w:val="0000FF"/>
                <w:u w:val="single"/>
                <w:rtl/>
              </w:rPr>
              <w:t>ומתבגרים</w:t>
            </w:r>
          </w:p>
          <w:p w:rsidR="004E11D8" w:rsidRDefault="004E11D8" w:rsidP="004E11D8">
            <w:pPr>
              <w:rPr>
                <w:rtl/>
              </w:rPr>
            </w:pPr>
            <w:r>
              <w:rPr>
                <w:rFonts w:hint="cs"/>
                <w:rtl/>
              </w:rPr>
              <w:t>...</w:t>
            </w:r>
          </w:p>
          <w:p w:rsidR="004E11D8" w:rsidRPr="004E11D8" w:rsidRDefault="004E11D8" w:rsidP="004E11D8">
            <w:pPr>
              <w:rPr>
                <w:u w:val="single"/>
                <w:rtl/>
              </w:rPr>
            </w:pPr>
            <w:r w:rsidRPr="004E11D8">
              <w:rPr>
                <w:rFonts w:hint="cs"/>
                <w:color w:val="0000FF"/>
                <w:highlight w:val="yellow"/>
                <w:u w:val="single"/>
                <w:rtl/>
              </w:rPr>
              <w:t>בילדים, יתכן שהרופא ימליץ על ניטור תיפקוד בלוטת התריס לפני הטיפול ובמהלכו</w:t>
            </w:r>
            <w:r w:rsidRPr="004E11D8">
              <w:rPr>
                <w:rFonts w:hint="cs"/>
                <w:color w:val="0000FF"/>
                <w:u w:val="single"/>
                <w:rtl/>
              </w:rPr>
              <w:t>.</w:t>
            </w:r>
          </w:p>
        </w:tc>
      </w:tr>
      <w:tr w:rsidR="00EA39C0" w:rsidTr="001E3529">
        <w:trPr>
          <w:jc w:val="center"/>
        </w:trPr>
        <w:tc>
          <w:tcPr>
            <w:tcW w:w="2044" w:type="dxa"/>
          </w:tcPr>
          <w:p w:rsidR="00EA39C0" w:rsidRPr="00EA39C0" w:rsidRDefault="00EA39C0" w:rsidP="006675BB">
            <w:pPr>
              <w:spacing w:before="60"/>
              <w:rPr>
                <w:b/>
                <w:bCs/>
                <w:rtl/>
              </w:rPr>
            </w:pPr>
            <w:r w:rsidRPr="00EA39C0">
              <w:rPr>
                <w:b/>
                <w:bCs/>
                <w:rtl/>
              </w:rPr>
              <w:t>נהיגה ושימוש במכונות</w:t>
            </w:r>
          </w:p>
        </w:tc>
        <w:tc>
          <w:tcPr>
            <w:tcW w:w="3870" w:type="dxa"/>
          </w:tcPr>
          <w:p w:rsidR="00EA39C0" w:rsidRPr="00EA39C0" w:rsidRDefault="00EA39C0" w:rsidP="00EA39C0">
            <w:pPr>
              <w:tabs>
                <w:tab w:val="left" w:pos="5819"/>
              </w:tabs>
              <w:spacing w:before="120"/>
              <w:rPr>
                <w:b/>
                <w:bCs/>
                <w:rtl/>
              </w:rPr>
            </w:pPr>
            <w:r w:rsidRPr="00EA39C0">
              <w:rPr>
                <w:b/>
                <w:bCs/>
                <w:rtl/>
              </w:rPr>
              <w:t>איך תשפיע התרופה על חיי היום יום שלך?</w:t>
            </w:r>
          </w:p>
          <w:p w:rsidR="00EA39C0" w:rsidRPr="00D6318A" w:rsidRDefault="00EA39C0" w:rsidP="00EA39C0">
            <w:pPr>
              <w:spacing w:before="120"/>
              <w:rPr>
                <w:rtl/>
              </w:rPr>
            </w:pPr>
            <w:r w:rsidRPr="00D6318A">
              <w:rPr>
                <w:rFonts w:hint="cs"/>
                <w:rtl/>
              </w:rPr>
              <w:t xml:space="preserve">חשוב להתייעץ עם הרופא לגבי יכולתך לנהוג ברכב או להפעיל מכונות, שכן טרילפטין עשוי לגרום לישנוניות או סחרחורת. </w:t>
            </w:r>
            <w:r w:rsidRPr="000F6CBF">
              <w:rPr>
                <w:rtl/>
              </w:rPr>
              <w:t>באשר לילדים, יש להזהירם מרכיבה על אופניים או ממשחקים בקרבת הכביש וכדומה.</w:t>
            </w:r>
          </w:p>
          <w:p w:rsidR="00EA39C0" w:rsidRPr="00DF4B49" w:rsidRDefault="00EA39C0" w:rsidP="00433A2A">
            <w:pPr>
              <w:rPr>
                <w:rtl/>
              </w:rPr>
            </w:pPr>
          </w:p>
        </w:tc>
        <w:tc>
          <w:tcPr>
            <w:tcW w:w="3870" w:type="dxa"/>
          </w:tcPr>
          <w:p w:rsidR="00EA39C0" w:rsidRPr="00D6318A" w:rsidRDefault="00EA39C0" w:rsidP="00EA39C0">
            <w:pPr>
              <w:tabs>
                <w:tab w:val="left" w:pos="5819"/>
              </w:tabs>
              <w:spacing w:before="120"/>
              <w:rPr>
                <w:b/>
                <w:bCs/>
                <w:color w:val="00B050"/>
                <w:rtl/>
              </w:rPr>
            </w:pPr>
            <w:r>
              <w:rPr>
                <w:rFonts w:hint="cs"/>
                <w:b/>
                <w:bCs/>
                <w:color w:val="00B050"/>
                <w:rtl/>
              </w:rPr>
              <w:t>נהיגה ושימוש במכונות</w:t>
            </w:r>
          </w:p>
          <w:p w:rsidR="00EA39C0" w:rsidRPr="00D6318A" w:rsidRDefault="00EA39C0" w:rsidP="00EA39C0">
            <w:pPr>
              <w:tabs>
                <w:tab w:val="left" w:pos="5819"/>
              </w:tabs>
              <w:spacing w:before="120"/>
              <w:rPr>
                <w:b/>
                <w:bCs/>
                <w:strike/>
                <w:color w:val="00B050"/>
                <w:rtl/>
              </w:rPr>
            </w:pPr>
            <w:r w:rsidRPr="00D6318A">
              <w:rPr>
                <w:b/>
                <w:bCs/>
                <w:strike/>
                <w:color w:val="00B050"/>
                <w:rtl/>
              </w:rPr>
              <w:t>איך תשפיע התרופה על חיי היום יום שלך?</w:t>
            </w:r>
          </w:p>
          <w:p w:rsidR="00EA39C0" w:rsidRPr="00EA39C0" w:rsidRDefault="00EA39C0" w:rsidP="00EA39C0">
            <w:pPr>
              <w:spacing w:before="120"/>
              <w:rPr>
                <w:rtl/>
              </w:rPr>
            </w:pPr>
            <w:r w:rsidRPr="00D6318A">
              <w:rPr>
                <w:rFonts w:hint="cs"/>
                <w:rtl/>
              </w:rPr>
              <w:t>חשוב להתייעץ עם הרופא לגבי יכולתך לנהוג ברכב או להפעיל מכונות, שכן טרילפטין עשוי לגרום לישנוניות או סחרחורת</w:t>
            </w:r>
            <w:r w:rsidRPr="00EA39C0">
              <w:rPr>
                <w:rFonts w:hint="cs"/>
                <w:color w:val="0000FF"/>
                <w:u w:val="single"/>
                <w:rtl/>
              </w:rPr>
              <w:t xml:space="preserve"> </w:t>
            </w:r>
            <w:r w:rsidRPr="00EA39C0">
              <w:rPr>
                <w:rFonts w:hint="cs"/>
                <w:color w:val="0000FF"/>
                <w:highlight w:val="yellow"/>
                <w:u w:val="single"/>
                <w:rtl/>
              </w:rPr>
              <w:t xml:space="preserve">או עשוי לגרום לראייה מטושטשת, ראייה כפולה, חוסר קואורדינציה בשרירים או רמת הכרה ירודה, במיוחד בתחילת הטיפול או </w:t>
            </w:r>
            <w:r w:rsidRPr="00EA39C0">
              <w:rPr>
                <w:rFonts w:hint="cs"/>
                <w:color w:val="0000FF"/>
                <w:highlight w:val="yellow"/>
                <w:u w:val="single"/>
                <w:rtl/>
              </w:rPr>
              <w:lastRenderedPageBreak/>
              <w:t>כשמעלים את המינון</w:t>
            </w:r>
            <w:r w:rsidRPr="00D6318A">
              <w:rPr>
                <w:rFonts w:hint="cs"/>
                <w:rtl/>
              </w:rPr>
              <w:t xml:space="preserve">. </w:t>
            </w:r>
            <w:r w:rsidRPr="000F6CBF">
              <w:rPr>
                <w:rtl/>
              </w:rPr>
              <w:t>באשר לילדים, יש להזהירם מרכיבה על אופניים או ממשחקים בקרבת הכביש וכדומה.</w:t>
            </w:r>
          </w:p>
        </w:tc>
      </w:tr>
      <w:tr w:rsidR="00D93FF9" w:rsidTr="001E3529">
        <w:trPr>
          <w:jc w:val="center"/>
        </w:trPr>
        <w:tc>
          <w:tcPr>
            <w:tcW w:w="2044" w:type="dxa"/>
          </w:tcPr>
          <w:p w:rsidR="00D93FF9" w:rsidRPr="00EB657C" w:rsidRDefault="00D93FF9" w:rsidP="006675BB">
            <w:pPr>
              <w:spacing w:before="60"/>
              <w:rPr>
                <w:b/>
                <w:bCs/>
                <w:rtl/>
              </w:rPr>
            </w:pPr>
            <w:r w:rsidRPr="00EB657C">
              <w:rPr>
                <w:rFonts w:cs="David Transparent" w:hint="cs"/>
                <w:b/>
                <w:bCs/>
                <w:rtl/>
              </w:rPr>
              <w:lastRenderedPageBreak/>
              <w:t>בדיקות ומעקב</w:t>
            </w:r>
          </w:p>
        </w:tc>
        <w:tc>
          <w:tcPr>
            <w:tcW w:w="3870" w:type="dxa"/>
          </w:tcPr>
          <w:p w:rsidR="00D93FF9" w:rsidRPr="00DF4B49" w:rsidRDefault="00D93FF9" w:rsidP="00433A2A">
            <w:pPr>
              <w:rPr>
                <w:rtl/>
              </w:rPr>
            </w:pPr>
          </w:p>
        </w:tc>
        <w:tc>
          <w:tcPr>
            <w:tcW w:w="3870" w:type="dxa"/>
          </w:tcPr>
          <w:p w:rsidR="00EB657C" w:rsidRPr="00EB657C" w:rsidRDefault="00EB657C" w:rsidP="00EB657C">
            <w:pPr>
              <w:rPr>
                <w:color w:val="0000FF"/>
                <w:highlight w:val="yellow"/>
                <w:u w:val="single"/>
                <w:rtl/>
              </w:rPr>
            </w:pPr>
            <w:r w:rsidRPr="00EB657C">
              <w:rPr>
                <w:rFonts w:hint="cs"/>
                <w:color w:val="0000FF"/>
                <w:highlight w:val="yellow"/>
                <w:u w:val="single"/>
                <w:rtl/>
              </w:rPr>
              <w:t>לפני הטיפול בטרילפטין ובמהלכו, יתכן שהרופא שלך יערוך בדיקות דם כדי לקבוע את המינון עבורך. הרופא יאמר לך מתי לבצע את הבדיקות.</w:t>
            </w:r>
          </w:p>
          <w:p w:rsidR="00EB657C" w:rsidRPr="00EB657C" w:rsidRDefault="00EB657C" w:rsidP="00D93FF9">
            <w:pPr>
              <w:rPr>
                <w:rtl/>
              </w:rPr>
            </w:pPr>
            <w:r w:rsidRPr="00EB657C">
              <w:rPr>
                <w:rFonts w:hint="cs"/>
                <w:rtl/>
              </w:rPr>
              <w:t>...</w:t>
            </w:r>
          </w:p>
          <w:p w:rsidR="00D93FF9" w:rsidRPr="00D93FF9" w:rsidRDefault="00D93FF9" w:rsidP="00D93FF9">
            <w:pPr>
              <w:rPr>
                <w:color w:val="0000FF"/>
                <w:u w:val="single"/>
                <w:rtl/>
              </w:rPr>
            </w:pPr>
            <w:r>
              <w:rPr>
                <w:rFonts w:hint="cs"/>
                <w:color w:val="0000FF"/>
                <w:highlight w:val="yellow"/>
                <w:u w:val="single"/>
                <w:rtl/>
              </w:rPr>
              <w:t>הסיכון לתגובות עוריות רציניות במטופלים ממוצא סיני או תאילנדי הקשורות לאוקסקרבזפין, קרבמזפין או תרכובות הדומות כימית, ניתן לחיזוי בבדיקת דוגמת דם של מטופלים אלה. הרופא ייעץ האם בדיקת דם נחוצה לפני נטילת טרילפטין</w:t>
            </w:r>
            <w:r w:rsidR="00EB657C">
              <w:rPr>
                <w:rFonts w:hint="cs"/>
                <w:color w:val="0000FF"/>
                <w:u w:val="single"/>
                <w:rtl/>
              </w:rPr>
              <w:t>.</w:t>
            </w:r>
          </w:p>
        </w:tc>
      </w:tr>
      <w:tr w:rsidR="00E63EF9" w:rsidTr="001E3529">
        <w:trPr>
          <w:jc w:val="center"/>
        </w:trPr>
        <w:tc>
          <w:tcPr>
            <w:tcW w:w="2044" w:type="dxa"/>
          </w:tcPr>
          <w:p w:rsidR="00E63EF9" w:rsidRDefault="001C0F9A" w:rsidP="006675BB">
            <w:pPr>
              <w:spacing w:before="60"/>
              <w:rPr>
                <w:rFonts w:cs="David Transparent"/>
                <w:b/>
                <w:bCs/>
                <w:szCs w:val="22"/>
                <w:rtl/>
              </w:rPr>
            </w:pPr>
            <w:r>
              <w:rPr>
                <w:rFonts w:hint="cs"/>
                <w:b/>
                <w:bCs/>
                <w:rtl/>
              </w:rPr>
              <w:t>תופעות לוואי</w:t>
            </w:r>
          </w:p>
        </w:tc>
        <w:tc>
          <w:tcPr>
            <w:tcW w:w="3870" w:type="dxa"/>
          </w:tcPr>
          <w:p w:rsidR="00DF4B49" w:rsidRPr="00DF4B49" w:rsidRDefault="00DF4B49" w:rsidP="00433A2A">
            <w:pPr>
              <w:rPr>
                <w:rtl/>
              </w:rPr>
            </w:pPr>
          </w:p>
        </w:tc>
        <w:tc>
          <w:tcPr>
            <w:tcW w:w="3870" w:type="dxa"/>
          </w:tcPr>
          <w:p w:rsidR="0023134F" w:rsidRDefault="0023134F" w:rsidP="0023134F">
            <w:pPr>
              <w:rPr>
                <w:rtl/>
              </w:rPr>
            </w:pPr>
            <w:r w:rsidRPr="003804D8">
              <w:rPr>
                <w:b/>
                <w:bCs/>
                <w:rtl/>
              </w:rPr>
              <w:t>תופעות לוואי שכיחות</w:t>
            </w:r>
            <w:r>
              <w:rPr>
                <w:rFonts w:hint="cs"/>
                <w:rtl/>
              </w:rPr>
              <w:t xml:space="preserve"> </w:t>
            </w:r>
          </w:p>
          <w:p w:rsidR="0023134F" w:rsidRDefault="0023134F" w:rsidP="0023134F">
            <w:r>
              <w:rPr>
                <w:rFonts w:hint="cs"/>
                <w:rtl/>
              </w:rPr>
              <w:t>...</w:t>
            </w:r>
          </w:p>
          <w:p w:rsidR="0023134F" w:rsidRPr="0023134F" w:rsidRDefault="0023134F" w:rsidP="0023134F">
            <w:r w:rsidRPr="0023134F">
              <w:rPr>
                <w:rFonts w:hint="cs"/>
                <w:color w:val="0000FF"/>
                <w:highlight w:val="yellow"/>
                <w:u w:val="single"/>
                <w:rtl/>
              </w:rPr>
              <w:t>תנודות במצב הרוח</w:t>
            </w:r>
            <w:r w:rsidRPr="0023134F">
              <w:rPr>
                <w:rFonts w:hint="cs"/>
                <w:color w:val="0000FF"/>
                <w:u w:val="single"/>
                <w:rtl/>
              </w:rPr>
              <w:t>,</w:t>
            </w:r>
            <w:r>
              <w:rPr>
                <w:rFonts w:hint="cs"/>
                <w:rtl/>
              </w:rPr>
              <w:t xml:space="preserve"> ...</w:t>
            </w:r>
          </w:p>
          <w:p w:rsidR="00EF479B" w:rsidRPr="0023134F" w:rsidRDefault="00EF479B" w:rsidP="00D93FF9">
            <w:pPr>
              <w:rPr>
                <w:color w:val="0000FF"/>
                <w:u w:val="single"/>
                <w:rtl/>
              </w:rPr>
            </w:pPr>
          </w:p>
        </w:tc>
      </w:tr>
    </w:tbl>
    <w:p w:rsidR="00570270" w:rsidRDefault="00570270" w:rsidP="00825FD2">
      <w:pPr>
        <w:ind w:right="-142"/>
        <w:rPr>
          <w:rFonts w:cs="David Transparent"/>
          <w:sz w:val="18"/>
          <w:szCs w:val="18"/>
          <w:rtl/>
        </w:rPr>
      </w:pPr>
    </w:p>
    <w:p w:rsidR="00570270" w:rsidRDefault="00570270" w:rsidP="00825FD2">
      <w:pPr>
        <w:ind w:right="-142"/>
        <w:rPr>
          <w:rFonts w:cs="David Transparent"/>
          <w:sz w:val="18"/>
          <w:szCs w:val="18"/>
          <w:rtl/>
        </w:rPr>
      </w:pPr>
    </w:p>
    <w:p w:rsidR="00825FD2" w:rsidRPr="00C21905" w:rsidRDefault="00825FD2" w:rsidP="00825FD2">
      <w:pPr>
        <w:ind w:right="-142"/>
        <w:rPr>
          <w:b/>
          <w:bCs/>
          <w:rtl/>
        </w:rPr>
      </w:pPr>
      <w:r w:rsidRPr="007125E3">
        <w:rPr>
          <w:rFonts w:hint="cs"/>
          <w:b/>
          <w:bCs/>
          <w:rtl/>
        </w:rPr>
        <w:t xml:space="preserve">מצ"ב העלון שבו מסומנות ההחמרות </w:t>
      </w:r>
      <w:r w:rsidRPr="00C21905">
        <w:rPr>
          <w:rFonts w:hint="cs"/>
          <w:b/>
          <w:bCs/>
          <w:rtl/>
        </w:rPr>
        <w:t>המבוקשות על רקע צהוב.</w:t>
      </w:r>
    </w:p>
    <w:p w:rsidR="00825FD2" w:rsidRPr="00C21905" w:rsidRDefault="00825FD2" w:rsidP="00825FD2">
      <w:pPr>
        <w:pBdr>
          <w:bottom w:val="single" w:sz="12" w:space="1" w:color="auto"/>
        </w:pBdr>
        <w:ind w:right="-142"/>
        <w:rPr>
          <w:rtl/>
        </w:rPr>
      </w:pPr>
      <w:r w:rsidRPr="00C21905">
        <w:rPr>
          <w:rFonts w:hint="cs"/>
          <w:rtl/>
        </w:rPr>
        <w:t>שינויים שאינם בגדר החמרות סומנו (</w:t>
      </w:r>
      <w:r w:rsidRPr="00C21905">
        <w:rPr>
          <w:rFonts w:hint="cs"/>
          <w:u w:val="single"/>
          <w:rtl/>
        </w:rPr>
        <w:t>בעלון</w:t>
      </w:r>
      <w:r w:rsidRPr="00C21905">
        <w:rPr>
          <w:rFonts w:hint="cs"/>
          <w:rtl/>
        </w:rPr>
        <w:t>) בצבע שונה. יש לסמן רק תוכן מהותי ולא שינויים במיקום הטקסט.</w:t>
      </w:r>
    </w:p>
    <w:p w:rsidR="00825FD2" w:rsidRDefault="00825FD2" w:rsidP="00825FD2">
      <w:pPr>
        <w:ind w:right="-142"/>
        <w:rPr>
          <w:rFonts w:cs="David Transparent"/>
          <w:sz w:val="18"/>
          <w:szCs w:val="18"/>
          <w:rtl/>
        </w:rPr>
      </w:pPr>
      <w:bookmarkStart w:id="0" w:name="_GoBack"/>
      <w:bookmarkEnd w:id="0"/>
    </w:p>
    <w:p w:rsidR="001E3529" w:rsidRDefault="001E3529" w:rsidP="001E3529">
      <w:pPr>
        <w:ind w:right="-142"/>
        <w:rPr>
          <w:rFonts w:cs="David Transparent"/>
          <w:sz w:val="18"/>
          <w:szCs w:val="18"/>
          <w:rtl/>
        </w:rPr>
      </w:pPr>
    </w:p>
    <w:p w:rsidR="00F40637" w:rsidRDefault="00F40637" w:rsidP="00F40637">
      <w:pPr>
        <w:ind w:left="-143" w:right="-142"/>
        <w:rPr>
          <w:rFonts w:cs="David Transparent"/>
          <w:sz w:val="18"/>
          <w:szCs w:val="18"/>
        </w:rPr>
      </w:pPr>
    </w:p>
    <w:p w:rsidR="001E3529" w:rsidRPr="00F40637" w:rsidRDefault="001E3529" w:rsidP="00F40637">
      <w:pPr>
        <w:ind w:right="-142"/>
        <w:rPr>
          <w:rFonts w:cs="David Transparent"/>
          <w:sz w:val="18"/>
          <w:szCs w:val="18"/>
          <w:rtl/>
        </w:rPr>
      </w:pPr>
    </w:p>
    <w:sectPr w:rsidR="001E3529" w:rsidRPr="00F40637" w:rsidSect="001E3529">
      <w:footerReference w:type="default" r:id="rId9"/>
      <w:type w:val="continuous"/>
      <w:pgSz w:w="11906" w:h="16838" w:code="9"/>
      <w:pgMar w:top="851"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98" w:rsidRDefault="00327098">
      <w:r>
        <w:separator/>
      </w:r>
    </w:p>
  </w:endnote>
  <w:endnote w:type="continuationSeparator" w:id="0">
    <w:p w:rsidR="00327098" w:rsidRDefault="0032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bo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Transparent">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98" w:rsidRPr="00021BE4" w:rsidRDefault="00327098" w:rsidP="00021BE4">
    <w:pPr>
      <w:pStyle w:val="a5"/>
      <w:jc w:val="center"/>
      <w:rPr>
        <w:sz w:val="22"/>
        <w:szCs w:val="22"/>
      </w:rPr>
    </w:pPr>
    <w:r w:rsidRPr="00021BE4">
      <w:rPr>
        <w:sz w:val="22"/>
        <w:szCs w:val="22"/>
      </w:rPr>
      <w:fldChar w:fldCharType="begin"/>
    </w:r>
    <w:r w:rsidRPr="00021BE4">
      <w:rPr>
        <w:sz w:val="22"/>
        <w:szCs w:val="22"/>
      </w:rPr>
      <w:instrText xml:space="preserve"> PAGE   \* MERGEFORMAT </w:instrText>
    </w:r>
    <w:r w:rsidRPr="00021BE4">
      <w:rPr>
        <w:sz w:val="22"/>
        <w:szCs w:val="22"/>
      </w:rPr>
      <w:fldChar w:fldCharType="separate"/>
    </w:r>
    <w:r w:rsidR="00AE4872">
      <w:rPr>
        <w:noProof/>
        <w:sz w:val="22"/>
        <w:szCs w:val="22"/>
        <w:rtl/>
      </w:rPr>
      <w:t>9</w:t>
    </w:r>
    <w:r w:rsidRPr="00021BE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98" w:rsidRDefault="00327098">
      <w:r>
        <w:separator/>
      </w:r>
    </w:p>
  </w:footnote>
  <w:footnote w:type="continuationSeparator" w:id="0">
    <w:p w:rsidR="00327098" w:rsidRDefault="0032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A0"/>
    <w:multiLevelType w:val="hybridMultilevel"/>
    <w:tmpl w:val="DB6C6C42"/>
    <w:lvl w:ilvl="0" w:tplc="37960534">
      <w:numFmt w:val="bullet"/>
      <w:lvlText w:val=""/>
      <w:lvlJc w:val="left"/>
      <w:pPr>
        <w:ind w:left="777" w:hanging="360"/>
      </w:pPr>
      <w:rPr>
        <w:rFonts w:ascii="Wingdings" w:eastAsia="Times New Roman" w:hAnsi="Wingdings" w:cs="David" w:hint="default"/>
        <w:sz w:val="24"/>
        <w:szCs w:val="24"/>
        <w:lang w:bidi="he-IL"/>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17A4814"/>
    <w:multiLevelType w:val="hybridMultilevel"/>
    <w:tmpl w:val="D4ECF668"/>
    <w:lvl w:ilvl="0" w:tplc="E5128B48">
      <w:start w:val="8"/>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97AEF"/>
    <w:multiLevelType w:val="hybridMultilevel"/>
    <w:tmpl w:val="3974A30E"/>
    <w:lvl w:ilvl="0" w:tplc="D8CE0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5627C"/>
    <w:multiLevelType w:val="hybridMultilevel"/>
    <w:tmpl w:val="150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B2335"/>
    <w:multiLevelType w:val="multilevel"/>
    <w:tmpl w:val="077A2960"/>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4561070"/>
    <w:multiLevelType w:val="hybridMultilevel"/>
    <w:tmpl w:val="3AF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E673C"/>
    <w:multiLevelType w:val="hybridMultilevel"/>
    <w:tmpl w:val="8F1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C6643"/>
    <w:multiLevelType w:val="hybridMultilevel"/>
    <w:tmpl w:val="F9D8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A3675"/>
    <w:multiLevelType w:val="hybridMultilevel"/>
    <w:tmpl w:val="C60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62C4"/>
    <w:multiLevelType w:val="hybridMultilevel"/>
    <w:tmpl w:val="2AE4F6FA"/>
    <w:lvl w:ilvl="0" w:tplc="04090001">
      <w:start w:val="1"/>
      <w:numFmt w:val="bullet"/>
      <w:lvlText w:val=""/>
      <w:lvlJc w:val="left"/>
      <w:pPr>
        <w:tabs>
          <w:tab w:val="num" w:pos="1080"/>
        </w:tabs>
        <w:ind w:left="1080" w:hanging="360"/>
      </w:pPr>
      <w:rPr>
        <w:rFonts w:ascii="Symbol" w:hAnsi="Symbol" w:hint="default"/>
      </w:rPr>
    </w:lvl>
    <w:lvl w:ilvl="1" w:tplc="438EFF6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EB2989"/>
    <w:multiLevelType w:val="hybridMultilevel"/>
    <w:tmpl w:val="8FA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64379"/>
    <w:multiLevelType w:val="hybridMultilevel"/>
    <w:tmpl w:val="EE8C342C"/>
    <w:lvl w:ilvl="0" w:tplc="0A6AE8AA">
      <w:start w:val="1"/>
      <w:numFmt w:val="bullet"/>
      <w:lvlText w:val=""/>
      <w:lvlJc w:val="left"/>
      <w:pPr>
        <w:tabs>
          <w:tab w:val="num" w:pos="720"/>
        </w:tabs>
        <w:ind w:left="720" w:hanging="360"/>
      </w:pPr>
      <w:rPr>
        <w:rFonts w:ascii="Symbol" w:hAnsi="Symbol" w:hint="default"/>
        <w:strike w:val="0"/>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32160B"/>
    <w:multiLevelType w:val="hybridMultilevel"/>
    <w:tmpl w:val="92D45E74"/>
    <w:lvl w:ilvl="0" w:tplc="0409000F">
      <w:start w:val="1"/>
      <w:numFmt w:val="decimal"/>
      <w:lvlText w:val="%1."/>
      <w:lvlJc w:val="left"/>
      <w:pPr>
        <w:tabs>
          <w:tab w:val="num" w:pos="1297"/>
        </w:tabs>
        <w:ind w:left="1297" w:hanging="360"/>
      </w:pPr>
    </w:lvl>
    <w:lvl w:ilvl="1" w:tplc="04090019" w:tentative="1">
      <w:start w:val="1"/>
      <w:numFmt w:val="lowerLetter"/>
      <w:lvlText w:val="%2."/>
      <w:lvlJc w:val="left"/>
      <w:pPr>
        <w:tabs>
          <w:tab w:val="num" w:pos="2017"/>
        </w:tabs>
        <w:ind w:left="2017" w:hanging="360"/>
      </w:pPr>
    </w:lvl>
    <w:lvl w:ilvl="2" w:tplc="0409001B" w:tentative="1">
      <w:start w:val="1"/>
      <w:numFmt w:val="lowerRoman"/>
      <w:lvlText w:val="%3."/>
      <w:lvlJc w:val="right"/>
      <w:pPr>
        <w:tabs>
          <w:tab w:val="num" w:pos="2737"/>
        </w:tabs>
        <w:ind w:left="2737" w:hanging="180"/>
      </w:pPr>
    </w:lvl>
    <w:lvl w:ilvl="3" w:tplc="0409000F" w:tentative="1">
      <w:start w:val="1"/>
      <w:numFmt w:val="decimal"/>
      <w:lvlText w:val="%4."/>
      <w:lvlJc w:val="left"/>
      <w:pPr>
        <w:tabs>
          <w:tab w:val="num" w:pos="3457"/>
        </w:tabs>
        <w:ind w:left="3457" w:hanging="360"/>
      </w:pPr>
    </w:lvl>
    <w:lvl w:ilvl="4" w:tplc="04090019" w:tentative="1">
      <w:start w:val="1"/>
      <w:numFmt w:val="lowerLetter"/>
      <w:lvlText w:val="%5."/>
      <w:lvlJc w:val="left"/>
      <w:pPr>
        <w:tabs>
          <w:tab w:val="num" w:pos="4177"/>
        </w:tabs>
        <w:ind w:left="4177" w:hanging="360"/>
      </w:pPr>
    </w:lvl>
    <w:lvl w:ilvl="5" w:tplc="0409001B" w:tentative="1">
      <w:start w:val="1"/>
      <w:numFmt w:val="lowerRoman"/>
      <w:lvlText w:val="%6."/>
      <w:lvlJc w:val="right"/>
      <w:pPr>
        <w:tabs>
          <w:tab w:val="num" w:pos="4897"/>
        </w:tabs>
        <w:ind w:left="4897" w:hanging="180"/>
      </w:pPr>
    </w:lvl>
    <w:lvl w:ilvl="6" w:tplc="0409000F" w:tentative="1">
      <w:start w:val="1"/>
      <w:numFmt w:val="decimal"/>
      <w:lvlText w:val="%7."/>
      <w:lvlJc w:val="left"/>
      <w:pPr>
        <w:tabs>
          <w:tab w:val="num" w:pos="5617"/>
        </w:tabs>
        <w:ind w:left="5617" w:hanging="360"/>
      </w:pPr>
    </w:lvl>
    <w:lvl w:ilvl="7" w:tplc="04090019" w:tentative="1">
      <w:start w:val="1"/>
      <w:numFmt w:val="lowerLetter"/>
      <w:lvlText w:val="%8."/>
      <w:lvlJc w:val="left"/>
      <w:pPr>
        <w:tabs>
          <w:tab w:val="num" w:pos="6337"/>
        </w:tabs>
        <w:ind w:left="6337" w:hanging="360"/>
      </w:pPr>
    </w:lvl>
    <w:lvl w:ilvl="8" w:tplc="0409001B" w:tentative="1">
      <w:start w:val="1"/>
      <w:numFmt w:val="lowerRoman"/>
      <w:lvlText w:val="%9."/>
      <w:lvlJc w:val="right"/>
      <w:pPr>
        <w:tabs>
          <w:tab w:val="num" w:pos="7057"/>
        </w:tabs>
        <w:ind w:left="7057" w:hanging="180"/>
      </w:pPr>
    </w:lvl>
  </w:abstractNum>
  <w:abstractNum w:abstractNumId="13">
    <w:nsid w:val="2B09258D"/>
    <w:multiLevelType w:val="hybridMultilevel"/>
    <w:tmpl w:val="0A06E22E"/>
    <w:lvl w:ilvl="0" w:tplc="5AF027EC">
      <w:start w:val="20"/>
      <w:numFmt w:val="bullet"/>
      <w:lvlText w:val=""/>
      <w:lvlJc w:val="left"/>
      <w:pPr>
        <w:tabs>
          <w:tab w:val="num" w:pos="262"/>
        </w:tabs>
        <w:ind w:left="262" w:hanging="405"/>
      </w:pPr>
      <w:rPr>
        <w:rFonts w:ascii="Wingdings" w:eastAsia="Times New Roman" w:hAnsi="Wingdings" w:cs="Miriam" w:hint="default"/>
        <w:sz w:val="32"/>
      </w:rPr>
    </w:lvl>
    <w:lvl w:ilvl="1" w:tplc="04090003" w:tentative="1">
      <w:start w:val="1"/>
      <w:numFmt w:val="bullet"/>
      <w:lvlText w:val="o"/>
      <w:lvlJc w:val="left"/>
      <w:pPr>
        <w:tabs>
          <w:tab w:val="num" w:pos="937"/>
        </w:tabs>
        <w:ind w:left="937" w:hanging="360"/>
      </w:pPr>
      <w:rPr>
        <w:rFonts w:ascii="Courier New" w:hAnsi="Courier New" w:cs="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cs="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cs="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14">
    <w:nsid w:val="2B10396B"/>
    <w:multiLevelType w:val="hybridMultilevel"/>
    <w:tmpl w:val="B79212DE"/>
    <w:lvl w:ilvl="0" w:tplc="2B1051C8">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007FCD"/>
    <w:multiLevelType w:val="hybridMultilevel"/>
    <w:tmpl w:val="485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7">
    <w:nsid w:val="37F03F17"/>
    <w:multiLevelType w:val="hybridMultilevel"/>
    <w:tmpl w:val="1C1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47897"/>
    <w:multiLevelType w:val="hybridMultilevel"/>
    <w:tmpl w:val="A87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C3E7C"/>
    <w:multiLevelType w:val="hybridMultilevel"/>
    <w:tmpl w:val="DC1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65328"/>
    <w:multiLevelType w:val="hybridMultilevel"/>
    <w:tmpl w:val="C43E14C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nsid w:val="458718CC"/>
    <w:multiLevelType w:val="hybridMultilevel"/>
    <w:tmpl w:val="D0F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C0FF6"/>
    <w:multiLevelType w:val="hybridMultilevel"/>
    <w:tmpl w:val="464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72D8E"/>
    <w:multiLevelType w:val="hybridMultilevel"/>
    <w:tmpl w:val="90F0E95E"/>
    <w:lvl w:ilvl="0" w:tplc="E7E0148C">
      <w:numFmt w:val="bullet"/>
      <w:lvlText w:val=""/>
      <w:lvlJc w:val="left"/>
      <w:pPr>
        <w:ind w:left="360" w:hanging="360"/>
      </w:pPr>
      <w:rPr>
        <w:rFonts w:ascii="Wingdings" w:eastAsia="Times New Roman"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805EC4"/>
    <w:multiLevelType w:val="hybridMultilevel"/>
    <w:tmpl w:val="0512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D424C4"/>
    <w:multiLevelType w:val="hybridMultilevel"/>
    <w:tmpl w:val="F8321D46"/>
    <w:lvl w:ilvl="0" w:tplc="D374964A">
      <w:start w:val="8"/>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164160"/>
    <w:multiLevelType w:val="hybridMultilevel"/>
    <w:tmpl w:val="22B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B768F"/>
    <w:multiLevelType w:val="hybridMultilevel"/>
    <w:tmpl w:val="33B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E68A7"/>
    <w:multiLevelType w:val="hybridMultilevel"/>
    <w:tmpl w:val="6A3AC7BA"/>
    <w:lvl w:ilvl="0" w:tplc="E7E0148C">
      <w:numFmt w:val="bullet"/>
      <w:lvlText w:val=""/>
      <w:lvlJc w:val="left"/>
      <w:pPr>
        <w:ind w:left="776" w:hanging="360"/>
      </w:pPr>
      <w:rPr>
        <w:rFonts w:ascii="Wingdings" w:eastAsia="Times New Roman" w:hAnsi="Wingdings" w:cs="David"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nsid w:val="5E33190F"/>
    <w:multiLevelType w:val="hybridMultilevel"/>
    <w:tmpl w:val="0C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C71F1"/>
    <w:multiLevelType w:val="hybridMultilevel"/>
    <w:tmpl w:val="E728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97C20"/>
    <w:multiLevelType w:val="hybridMultilevel"/>
    <w:tmpl w:val="ECA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9537E"/>
    <w:multiLevelType w:val="hybridMultilevel"/>
    <w:tmpl w:val="7B4EDD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nsid w:val="670C7A66"/>
    <w:multiLevelType w:val="hybridMultilevel"/>
    <w:tmpl w:val="E3B29FA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4">
    <w:nsid w:val="67F578BB"/>
    <w:multiLevelType w:val="hybridMultilevel"/>
    <w:tmpl w:val="BEE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01A94"/>
    <w:multiLevelType w:val="hybridMultilevel"/>
    <w:tmpl w:val="D1C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321A35"/>
    <w:multiLevelType w:val="hybridMultilevel"/>
    <w:tmpl w:val="3CD08514"/>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37">
    <w:nsid w:val="6C6B01C8"/>
    <w:multiLevelType w:val="hybridMultilevel"/>
    <w:tmpl w:val="E520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165BDF"/>
    <w:multiLevelType w:val="hybridMultilevel"/>
    <w:tmpl w:val="757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540F4E"/>
    <w:multiLevelType w:val="hybridMultilevel"/>
    <w:tmpl w:val="B16C110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90001">
      <w:start w:val="1"/>
      <w:numFmt w:val="bullet"/>
      <w:lvlText w:val=""/>
      <w:lvlJc w:val="left"/>
      <w:pPr>
        <w:tabs>
          <w:tab w:val="num" w:pos="937"/>
        </w:tabs>
        <w:ind w:left="937" w:hanging="360"/>
      </w:pPr>
      <w:rPr>
        <w:rFonts w:ascii="Symbol" w:hAnsi="Symbol" w:hint="default"/>
        <w:sz w:val="32"/>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40">
    <w:nsid w:val="74441D72"/>
    <w:multiLevelType w:val="hybridMultilevel"/>
    <w:tmpl w:val="25E65014"/>
    <w:lvl w:ilvl="0" w:tplc="89B8B86E">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ED762F"/>
    <w:multiLevelType w:val="hybridMultilevel"/>
    <w:tmpl w:val="43D0F9CE"/>
    <w:lvl w:ilvl="0" w:tplc="37960534">
      <w:numFmt w:val="bullet"/>
      <w:lvlText w:val=""/>
      <w:lvlJc w:val="left"/>
      <w:pPr>
        <w:ind w:left="360" w:hanging="360"/>
      </w:pPr>
      <w:rPr>
        <w:rFonts w:ascii="Wingdings" w:eastAsia="Times New Roman" w:hAnsi="Wingdings" w:cs="David" w:hint="default"/>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496EE5"/>
    <w:multiLevelType w:val="hybridMultilevel"/>
    <w:tmpl w:val="BD60BA3C"/>
    <w:lvl w:ilvl="0" w:tplc="2B1051C8">
      <w:numFmt w:val="bullet"/>
      <w:lvlText w:val=""/>
      <w:lvlJc w:val="left"/>
      <w:pPr>
        <w:tabs>
          <w:tab w:val="num" w:pos="360"/>
        </w:tabs>
        <w:ind w:left="360" w:hanging="360"/>
      </w:pPr>
      <w:rPr>
        <w:rFonts w:ascii="Wingdings" w:eastAsia="Times New Roman" w:hAnsi="Wingdings" w:cs="David"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43">
    <w:nsid w:val="78761542"/>
    <w:multiLevelType w:val="hybridMultilevel"/>
    <w:tmpl w:val="824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8709AA"/>
    <w:multiLevelType w:val="hybridMultilevel"/>
    <w:tmpl w:val="DA0A3E76"/>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num w:numId="1">
    <w:abstractNumId w:val="39"/>
  </w:num>
  <w:num w:numId="2">
    <w:abstractNumId w:val="16"/>
  </w:num>
  <w:num w:numId="3">
    <w:abstractNumId w:val="11"/>
  </w:num>
  <w:num w:numId="4">
    <w:abstractNumId w:val="36"/>
  </w:num>
  <w:num w:numId="5">
    <w:abstractNumId w:val="44"/>
  </w:num>
  <w:num w:numId="6">
    <w:abstractNumId w:val="12"/>
  </w:num>
  <w:num w:numId="7">
    <w:abstractNumId w:val="13"/>
  </w:num>
  <w:num w:numId="8">
    <w:abstractNumId w:val="37"/>
  </w:num>
  <w:num w:numId="9">
    <w:abstractNumId w:val="19"/>
  </w:num>
  <w:num w:numId="10">
    <w:abstractNumId w:val="9"/>
  </w:num>
  <w:num w:numId="11">
    <w:abstractNumId w:val="3"/>
  </w:num>
  <w:num w:numId="12">
    <w:abstractNumId w:val="15"/>
  </w:num>
  <w:num w:numId="13">
    <w:abstractNumId w:val="24"/>
  </w:num>
  <w:num w:numId="14">
    <w:abstractNumId w:val="34"/>
  </w:num>
  <w:num w:numId="15">
    <w:abstractNumId w:val="7"/>
  </w:num>
  <w:num w:numId="16">
    <w:abstractNumId w:val="26"/>
  </w:num>
  <w:num w:numId="17">
    <w:abstractNumId w:val="43"/>
  </w:num>
  <w:num w:numId="18">
    <w:abstractNumId w:val="18"/>
  </w:num>
  <w:num w:numId="19">
    <w:abstractNumId w:val="38"/>
  </w:num>
  <w:num w:numId="20">
    <w:abstractNumId w:val="25"/>
  </w:num>
  <w:num w:numId="21">
    <w:abstractNumId w:val="22"/>
  </w:num>
  <w:num w:numId="22">
    <w:abstractNumId w:val="8"/>
  </w:num>
  <w:num w:numId="23">
    <w:abstractNumId w:val="17"/>
  </w:num>
  <w:num w:numId="24">
    <w:abstractNumId w:val="5"/>
  </w:num>
  <w:num w:numId="25">
    <w:abstractNumId w:val="29"/>
  </w:num>
  <w:num w:numId="26">
    <w:abstractNumId w:val="27"/>
  </w:num>
  <w:num w:numId="27">
    <w:abstractNumId w:val="42"/>
  </w:num>
  <w:num w:numId="28">
    <w:abstractNumId w:val="23"/>
  </w:num>
  <w:num w:numId="29">
    <w:abstractNumId w:val="40"/>
  </w:num>
  <w:num w:numId="30">
    <w:abstractNumId w:val="21"/>
  </w:num>
  <w:num w:numId="31">
    <w:abstractNumId w:val="10"/>
  </w:num>
  <w:num w:numId="32">
    <w:abstractNumId w:val="6"/>
  </w:num>
  <w:num w:numId="33">
    <w:abstractNumId w:val="32"/>
  </w:num>
  <w:num w:numId="34">
    <w:abstractNumId w:val="31"/>
  </w:num>
  <w:num w:numId="35">
    <w:abstractNumId w:val="33"/>
  </w:num>
  <w:num w:numId="36">
    <w:abstractNumId w:val="4"/>
  </w:num>
  <w:num w:numId="37">
    <w:abstractNumId w:val="1"/>
  </w:num>
  <w:num w:numId="38">
    <w:abstractNumId w:val="14"/>
  </w:num>
  <w:num w:numId="39">
    <w:abstractNumId w:val="0"/>
  </w:num>
  <w:num w:numId="40">
    <w:abstractNumId w:val="41"/>
  </w:num>
  <w:num w:numId="41">
    <w:abstractNumId w:val="20"/>
  </w:num>
  <w:num w:numId="42">
    <w:abstractNumId w:val="35"/>
  </w:num>
  <w:num w:numId="43">
    <w:abstractNumId w:val="7"/>
  </w:num>
  <w:num w:numId="44">
    <w:abstractNumId w:val="28"/>
  </w:num>
  <w:num w:numId="45">
    <w:abstractNumId w:val="3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DB"/>
    <w:rsid w:val="0000553B"/>
    <w:rsid w:val="0001599B"/>
    <w:rsid w:val="00021BE4"/>
    <w:rsid w:val="000239E6"/>
    <w:rsid w:val="00036E46"/>
    <w:rsid w:val="0004385B"/>
    <w:rsid w:val="0004395B"/>
    <w:rsid w:val="000453BC"/>
    <w:rsid w:val="00050DD7"/>
    <w:rsid w:val="00051422"/>
    <w:rsid w:val="000557B6"/>
    <w:rsid w:val="00057A26"/>
    <w:rsid w:val="0006251A"/>
    <w:rsid w:val="00066DC8"/>
    <w:rsid w:val="00075F8D"/>
    <w:rsid w:val="00080827"/>
    <w:rsid w:val="00094DBE"/>
    <w:rsid w:val="000A3E54"/>
    <w:rsid w:val="000B5E6F"/>
    <w:rsid w:val="000B7039"/>
    <w:rsid w:val="000C0394"/>
    <w:rsid w:val="000C2846"/>
    <w:rsid w:val="000C7212"/>
    <w:rsid w:val="000D21B9"/>
    <w:rsid w:val="000D36FB"/>
    <w:rsid w:val="000E3BBA"/>
    <w:rsid w:val="000F589A"/>
    <w:rsid w:val="00106FFC"/>
    <w:rsid w:val="00116C09"/>
    <w:rsid w:val="001174AD"/>
    <w:rsid w:val="00122A4E"/>
    <w:rsid w:val="00124F2C"/>
    <w:rsid w:val="001253AE"/>
    <w:rsid w:val="00126D0C"/>
    <w:rsid w:val="00132F0C"/>
    <w:rsid w:val="0014051A"/>
    <w:rsid w:val="001409BD"/>
    <w:rsid w:val="0015220A"/>
    <w:rsid w:val="00154668"/>
    <w:rsid w:val="00154859"/>
    <w:rsid w:val="00155771"/>
    <w:rsid w:val="00173032"/>
    <w:rsid w:val="00184809"/>
    <w:rsid w:val="001871AA"/>
    <w:rsid w:val="00187945"/>
    <w:rsid w:val="00193EE3"/>
    <w:rsid w:val="00195881"/>
    <w:rsid w:val="001A608C"/>
    <w:rsid w:val="001B0382"/>
    <w:rsid w:val="001B0DD2"/>
    <w:rsid w:val="001B20EA"/>
    <w:rsid w:val="001B256D"/>
    <w:rsid w:val="001B3BB4"/>
    <w:rsid w:val="001C0BD5"/>
    <w:rsid w:val="001C0F9A"/>
    <w:rsid w:val="001C1F09"/>
    <w:rsid w:val="001C44EA"/>
    <w:rsid w:val="001D36FA"/>
    <w:rsid w:val="001D51B0"/>
    <w:rsid w:val="001E06D6"/>
    <w:rsid w:val="001E3529"/>
    <w:rsid w:val="001E524B"/>
    <w:rsid w:val="00200BAF"/>
    <w:rsid w:val="00206B36"/>
    <w:rsid w:val="00214E5E"/>
    <w:rsid w:val="00215D1B"/>
    <w:rsid w:val="0023134F"/>
    <w:rsid w:val="00242E69"/>
    <w:rsid w:val="00247CD8"/>
    <w:rsid w:val="002528C8"/>
    <w:rsid w:val="00262365"/>
    <w:rsid w:val="002634A9"/>
    <w:rsid w:val="0026363F"/>
    <w:rsid w:val="00266FBE"/>
    <w:rsid w:val="00276608"/>
    <w:rsid w:val="00276757"/>
    <w:rsid w:val="0027749D"/>
    <w:rsid w:val="002829A6"/>
    <w:rsid w:val="00284678"/>
    <w:rsid w:val="0028523B"/>
    <w:rsid w:val="00287ED7"/>
    <w:rsid w:val="0029191E"/>
    <w:rsid w:val="002A08C4"/>
    <w:rsid w:val="002A2579"/>
    <w:rsid w:val="002A6713"/>
    <w:rsid w:val="002A69DC"/>
    <w:rsid w:val="002C55D2"/>
    <w:rsid w:val="002E10AE"/>
    <w:rsid w:val="002E7AF6"/>
    <w:rsid w:val="003012A5"/>
    <w:rsid w:val="00302E5C"/>
    <w:rsid w:val="00306B92"/>
    <w:rsid w:val="00327098"/>
    <w:rsid w:val="0033554A"/>
    <w:rsid w:val="003377F0"/>
    <w:rsid w:val="00343B4E"/>
    <w:rsid w:val="0036134A"/>
    <w:rsid w:val="003854A8"/>
    <w:rsid w:val="00395D6C"/>
    <w:rsid w:val="003A3D43"/>
    <w:rsid w:val="003A5ECE"/>
    <w:rsid w:val="003B3CF8"/>
    <w:rsid w:val="003B6682"/>
    <w:rsid w:val="003C7431"/>
    <w:rsid w:val="003D09D5"/>
    <w:rsid w:val="003D3EF9"/>
    <w:rsid w:val="0040456A"/>
    <w:rsid w:val="00415862"/>
    <w:rsid w:val="00415D5E"/>
    <w:rsid w:val="004224DB"/>
    <w:rsid w:val="00426E2F"/>
    <w:rsid w:val="004339EB"/>
    <w:rsid w:val="00433A2A"/>
    <w:rsid w:val="004455C3"/>
    <w:rsid w:val="00447B6C"/>
    <w:rsid w:val="00467655"/>
    <w:rsid w:val="00467826"/>
    <w:rsid w:val="004721C7"/>
    <w:rsid w:val="004811AB"/>
    <w:rsid w:val="00485911"/>
    <w:rsid w:val="00486E49"/>
    <w:rsid w:val="00491CF5"/>
    <w:rsid w:val="004939E7"/>
    <w:rsid w:val="004A20CA"/>
    <w:rsid w:val="004B03C9"/>
    <w:rsid w:val="004B0CF7"/>
    <w:rsid w:val="004B2E04"/>
    <w:rsid w:val="004B618B"/>
    <w:rsid w:val="004B728D"/>
    <w:rsid w:val="004C50B8"/>
    <w:rsid w:val="004C69F6"/>
    <w:rsid w:val="004D77F9"/>
    <w:rsid w:val="004E11D8"/>
    <w:rsid w:val="004E3CB6"/>
    <w:rsid w:val="004E60D5"/>
    <w:rsid w:val="004F3558"/>
    <w:rsid w:val="004F55CC"/>
    <w:rsid w:val="00507B37"/>
    <w:rsid w:val="005176E5"/>
    <w:rsid w:val="00521B24"/>
    <w:rsid w:val="00525F60"/>
    <w:rsid w:val="00542AE3"/>
    <w:rsid w:val="00552413"/>
    <w:rsid w:val="00555B5C"/>
    <w:rsid w:val="005630B0"/>
    <w:rsid w:val="00570270"/>
    <w:rsid w:val="00576AFC"/>
    <w:rsid w:val="005819AF"/>
    <w:rsid w:val="005B32BC"/>
    <w:rsid w:val="005B3DB6"/>
    <w:rsid w:val="005B75ED"/>
    <w:rsid w:val="005D12CC"/>
    <w:rsid w:val="005D56D8"/>
    <w:rsid w:val="005D727A"/>
    <w:rsid w:val="005E7182"/>
    <w:rsid w:val="005F137A"/>
    <w:rsid w:val="0060260B"/>
    <w:rsid w:val="006127F4"/>
    <w:rsid w:val="00616ABB"/>
    <w:rsid w:val="006245C2"/>
    <w:rsid w:val="006266C0"/>
    <w:rsid w:val="00630A26"/>
    <w:rsid w:val="00646ADF"/>
    <w:rsid w:val="00656776"/>
    <w:rsid w:val="006675BB"/>
    <w:rsid w:val="00671516"/>
    <w:rsid w:val="006743D3"/>
    <w:rsid w:val="006758D3"/>
    <w:rsid w:val="006804B9"/>
    <w:rsid w:val="006908E6"/>
    <w:rsid w:val="0069423F"/>
    <w:rsid w:val="006A4822"/>
    <w:rsid w:val="006A5147"/>
    <w:rsid w:val="006B74C8"/>
    <w:rsid w:val="006D2864"/>
    <w:rsid w:val="006D77DD"/>
    <w:rsid w:val="007063BF"/>
    <w:rsid w:val="0071030D"/>
    <w:rsid w:val="00743250"/>
    <w:rsid w:val="00744D54"/>
    <w:rsid w:val="007751AF"/>
    <w:rsid w:val="0077598B"/>
    <w:rsid w:val="00786259"/>
    <w:rsid w:val="00791B61"/>
    <w:rsid w:val="007A7DF8"/>
    <w:rsid w:val="007B688E"/>
    <w:rsid w:val="00800C18"/>
    <w:rsid w:val="008121FD"/>
    <w:rsid w:val="00817978"/>
    <w:rsid w:val="008179B3"/>
    <w:rsid w:val="008252C6"/>
    <w:rsid w:val="00825FD2"/>
    <w:rsid w:val="008421D2"/>
    <w:rsid w:val="00860A77"/>
    <w:rsid w:val="0086535B"/>
    <w:rsid w:val="00871293"/>
    <w:rsid w:val="00873325"/>
    <w:rsid w:val="008770EB"/>
    <w:rsid w:val="00886885"/>
    <w:rsid w:val="00894D20"/>
    <w:rsid w:val="008A44D2"/>
    <w:rsid w:val="008B01C8"/>
    <w:rsid w:val="008B242B"/>
    <w:rsid w:val="008C1FEB"/>
    <w:rsid w:val="008C301F"/>
    <w:rsid w:val="008C744D"/>
    <w:rsid w:val="008D3493"/>
    <w:rsid w:val="008D4CE3"/>
    <w:rsid w:val="008D7D1F"/>
    <w:rsid w:val="008E7296"/>
    <w:rsid w:val="008F15DA"/>
    <w:rsid w:val="008F32EA"/>
    <w:rsid w:val="008F33C7"/>
    <w:rsid w:val="008F6414"/>
    <w:rsid w:val="00900FE8"/>
    <w:rsid w:val="00917BD4"/>
    <w:rsid w:val="00923FF1"/>
    <w:rsid w:val="0093085C"/>
    <w:rsid w:val="00933D1D"/>
    <w:rsid w:val="009344EA"/>
    <w:rsid w:val="0093466D"/>
    <w:rsid w:val="00936408"/>
    <w:rsid w:val="00937132"/>
    <w:rsid w:val="00943C7B"/>
    <w:rsid w:val="0094554B"/>
    <w:rsid w:val="009477D1"/>
    <w:rsid w:val="00950344"/>
    <w:rsid w:val="00951202"/>
    <w:rsid w:val="00981824"/>
    <w:rsid w:val="00987BD2"/>
    <w:rsid w:val="009A15AE"/>
    <w:rsid w:val="009A75DB"/>
    <w:rsid w:val="009B1FC9"/>
    <w:rsid w:val="009B3847"/>
    <w:rsid w:val="009B565E"/>
    <w:rsid w:val="009C0869"/>
    <w:rsid w:val="009C29E2"/>
    <w:rsid w:val="009C6FA2"/>
    <w:rsid w:val="009E0991"/>
    <w:rsid w:val="009E4FA1"/>
    <w:rsid w:val="009E7C98"/>
    <w:rsid w:val="00A00794"/>
    <w:rsid w:val="00A0695E"/>
    <w:rsid w:val="00A3339F"/>
    <w:rsid w:val="00A34503"/>
    <w:rsid w:val="00A351AE"/>
    <w:rsid w:val="00A47768"/>
    <w:rsid w:val="00A5154F"/>
    <w:rsid w:val="00A55FBE"/>
    <w:rsid w:val="00A6294C"/>
    <w:rsid w:val="00A6375F"/>
    <w:rsid w:val="00A6502B"/>
    <w:rsid w:val="00A73085"/>
    <w:rsid w:val="00A919E6"/>
    <w:rsid w:val="00A9665C"/>
    <w:rsid w:val="00AA3169"/>
    <w:rsid w:val="00AB1997"/>
    <w:rsid w:val="00AB4790"/>
    <w:rsid w:val="00AB5249"/>
    <w:rsid w:val="00AB7511"/>
    <w:rsid w:val="00AC3BB7"/>
    <w:rsid w:val="00AC4496"/>
    <w:rsid w:val="00AC46D1"/>
    <w:rsid w:val="00AE467B"/>
    <w:rsid w:val="00AE4786"/>
    <w:rsid w:val="00AE4872"/>
    <w:rsid w:val="00B12B8A"/>
    <w:rsid w:val="00B16A15"/>
    <w:rsid w:val="00B456BF"/>
    <w:rsid w:val="00B534F8"/>
    <w:rsid w:val="00B535B1"/>
    <w:rsid w:val="00B84818"/>
    <w:rsid w:val="00B933B3"/>
    <w:rsid w:val="00BB033A"/>
    <w:rsid w:val="00BB6D32"/>
    <w:rsid w:val="00BC462A"/>
    <w:rsid w:val="00BC5F73"/>
    <w:rsid w:val="00BC79F4"/>
    <w:rsid w:val="00BD1457"/>
    <w:rsid w:val="00BD4456"/>
    <w:rsid w:val="00BE276B"/>
    <w:rsid w:val="00BE6E66"/>
    <w:rsid w:val="00BF44FC"/>
    <w:rsid w:val="00BF539E"/>
    <w:rsid w:val="00C11A82"/>
    <w:rsid w:val="00C15E9E"/>
    <w:rsid w:val="00C207A6"/>
    <w:rsid w:val="00C2126B"/>
    <w:rsid w:val="00C21905"/>
    <w:rsid w:val="00C237F5"/>
    <w:rsid w:val="00C245BC"/>
    <w:rsid w:val="00C36C14"/>
    <w:rsid w:val="00C41D4B"/>
    <w:rsid w:val="00C44143"/>
    <w:rsid w:val="00C4689F"/>
    <w:rsid w:val="00C66A83"/>
    <w:rsid w:val="00C759E4"/>
    <w:rsid w:val="00C82BFB"/>
    <w:rsid w:val="00C8558D"/>
    <w:rsid w:val="00C90024"/>
    <w:rsid w:val="00C937D3"/>
    <w:rsid w:val="00C9502C"/>
    <w:rsid w:val="00C95D35"/>
    <w:rsid w:val="00C97BBF"/>
    <w:rsid w:val="00CA3420"/>
    <w:rsid w:val="00CA5EE5"/>
    <w:rsid w:val="00CD0737"/>
    <w:rsid w:val="00CF148C"/>
    <w:rsid w:val="00CF355A"/>
    <w:rsid w:val="00CF65C8"/>
    <w:rsid w:val="00D04B76"/>
    <w:rsid w:val="00D143BA"/>
    <w:rsid w:val="00D148EB"/>
    <w:rsid w:val="00D205B5"/>
    <w:rsid w:val="00D240A9"/>
    <w:rsid w:val="00D2477C"/>
    <w:rsid w:val="00D26035"/>
    <w:rsid w:val="00D30EBC"/>
    <w:rsid w:val="00D3782D"/>
    <w:rsid w:val="00D518D0"/>
    <w:rsid w:val="00D54D88"/>
    <w:rsid w:val="00D64F8D"/>
    <w:rsid w:val="00D67E15"/>
    <w:rsid w:val="00D726E4"/>
    <w:rsid w:val="00D72F42"/>
    <w:rsid w:val="00D734EC"/>
    <w:rsid w:val="00D73575"/>
    <w:rsid w:val="00D75D3C"/>
    <w:rsid w:val="00D80D0B"/>
    <w:rsid w:val="00D93DDD"/>
    <w:rsid w:val="00D93FF9"/>
    <w:rsid w:val="00DA1B6D"/>
    <w:rsid w:val="00DA5A73"/>
    <w:rsid w:val="00DB0B50"/>
    <w:rsid w:val="00DC6C0D"/>
    <w:rsid w:val="00DD1BC9"/>
    <w:rsid w:val="00DE312B"/>
    <w:rsid w:val="00DE3651"/>
    <w:rsid w:val="00DE4189"/>
    <w:rsid w:val="00DE70F9"/>
    <w:rsid w:val="00DF4B49"/>
    <w:rsid w:val="00E01C45"/>
    <w:rsid w:val="00E330F6"/>
    <w:rsid w:val="00E345FC"/>
    <w:rsid w:val="00E438CE"/>
    <w:rsid w:val="00E47BE2"/>
    <w:rsid w:val="00E63EF9"/>
    <w:rsid w:val="00E71441"/>
    <w:rsid w:val="00E73C3D"/>
    <w:rsid w:val="00E7630E"/>
    <w:rsid w:val="00E8229B"/>
    <w:rsid w:val="00E84478"/>
    <w:rsid w:val="00E85172"/>
    <w:rsid w:val="00EA39C0"/>
    <w:rsid w:val="00EB07F5"/>
    <w:rsid w:val="00EB657C"/>
    <w:rsid w:val="00EC3B6C"/>
    <w:rsid w:val="00EE0DAE"/>
    <w:rsid w:val="00EE332B"/>
    <w:rsid w:val="00EE3888"/>
    <w:rsid w:val="00EF044A"/>
    <w:rsid w:val="00EF479B"/>
    <w:rsid w:val="00EF6D9B"/>
    <w:rsid w:val="00F0092E"/>
    <w:rsid w:val="00F012FD"/>
    <w:rsid w:val="00F03163"/>
    <w:rsid w:val="00F1671A"/>
    <w:rsid w:val="00F16A1D"/>
    <w:rsid w:val="00F20799"/>
    <w:rsid w:val="00F231AD"/>
    <w:rsid w:val="00F27FE2"/>
    <w:rsid w:val="00F31D14"/>
    <w:rsid w:val="00F366E3"/>
    <w:rsid w:val="00F371CC"/>
    <w:rsid w:val="00F40637"/>
    <w:rsid w:val="00F4747A"/>
    <w:rsid w:val="00F52D61"/>
    <w:rsid w:val="00F61E03"/>
    <w:rsid w:val="00F67B67"/>
    <w:rsid w:val="00F723B1"/>
    <w:rsid w:val="00F74C48"/>
    <w:rsid w:val="00F80845"/>
    <w:rsid w:val="00F90E5E"/>
    <w:rsid w:val="00F944E5"/>
    <w:rsid w:val="00F95582"/>
    <w:rsid w:val="00FA79DC"/>
    <w:rsid w:val="00FB1742"/>
    <w:rsid w:val="00FB5996"/>
    <w:rsid w:val="00FB5B84"/>
    <w:rsid w:val="00FC10E6"/>
    <w:rsid w:val="00FD3DAE"/>
    <w:rsid w:val="00FD53A2"/>
    <w:rsid w:val="00FF5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0C"/>
    <w:pPr>
      <w:bidi/>
    </w:pPr>
    <w:rPr>
      <w:rFonts w:cs="David"/>
      <w:sz w:val="24"/>
      <w:szCs w:val="24"/>
      <w:lang w:eastAsia="he-IL"/>
    </w:rPr>
  </w:style>
  <w:style w:type="paragraph" w:styleId="1">
    <w:name w:val="heading 1"/>
    <w:basedOn w:val="a"/>
    <w:next w:val="a"/>
    <w:qFormat/>
    <w:rsid w:val="00943C7B"/>
    <w:pPr>
      <w:keepNext/>
      <w:jc w:val="center"/>
      <w:outlineLvl w:val="0"/>
    </w:pPr>
    <w:rPr>
      <w:rFonts w:cs="Courier New"/>
      <w:b/>
      <w:bCs/>
      <w:sz w:val="20"/>
      <w:szCs w:val="36"/>
      <w:u w:val="single"/>
      <w:lang w:eastAsia="en-US"/>
    </w:rPr>
  </w:style>
  <w:style w:type="paragraph" w:styleId="2">
    <w:name w:val="heading 2"/>
    <w:basedOn w:val="a"/>
    <w:next w:val="a"/>
    <w:link w:val="20"/>
    <w:qFormat/>
    <w:rsid w:val="000C2846"/>
    <w:pPr>
      <w:keepNext/>
      <w:spacing w:before="240" w:after="60"/>
      <w:outlineLvl w:val="1"/>
    </w:pPr>
    <w:rPr>
      <w:rFonts w:ascii="Arial" w:hAnsi="Arial" w:cs="Arial"/>
      <w:b/>
      <w:bCs/>
      <w:i/>
      <w:iCs/>
      <w:sz w:val="28"/>
      <w:szCs w:val="28"/>
    </w:rPr>
  </w:style>
  <w:style w:type="paragraph" w:styleId="3">
    <w:name w:val="heading 3"/>
    <w:basedOn w:val="a"/>
    <w:next w:val="a"/>
    <w:qFormat/>
    <w:rsid w:val="00943C7B"/>
    <w:pPr>
      <w:keepNext/>
      <w:ind w:right="-993"/>
      <w:jc w:val="center"/>
      <w:outlineLvl w:val="2"/>
    </w:pPr>
    <w:rPr>
      <w:rFonts w:cs="Tahoma"/>
      <w:b/>
      <w:bCs/>
      <w:sz w:val="20"/>
      <w:szCs w:val="28"/>
      <w:lang w:eastAsia="en-US"/>
    </w:rPr>
  </w:style>
  <w:style w:type="paragraph" w:styleId="4">
    <w:name w:val="heading 4"/>
    <w:basedOn w:val="a"/>
    <w:next w:val="a"/>
    <w:link w:val="40"/>
    <w:uiPriority w:val="9"/>
    <w:unhideWhenUsed/>
    <w:qFormat/>
    <w:rsid w:val="00B84818"/>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981824"/>
    <w:rPr>
      <w:noProof/>
    </w:rPr>
  </w:style>
  <w:style w:type="paragraph" w:styleId="30">
    <w:name w:val="Body Text 3"/>
    <w:basedOn w:val="a"/>
    <w:rsid w:val="00106FFC"/>
    <w:pPr>
      <w:spacing w:after="120"/>
    </w:pPr>
    <w:rPr>
      <w:sz w:val="16"/>
      <w:szCs w:val="16"/>
    </w:rPr>
  </w:style>
  <w:style w:type="paragraph" w:customStyle="1" w:styleId="paragraph">
    <w:name w:val="paragraph"/>
    <w:basedOn w:val="a"/>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a"/>
    <w:link w:val="TextChar"/>
    <w:rsid w:val="00800C18"/>
    <w:pPr>
      <w:bidi w:val="0"/>
      <w:spacing w:before="120" w:line="270" w:lineRule="exact"/>
      <w:jc w:val="both"/>
    </w:pPr>
    <w:rPr>
      <w:rFonts w:ascii="Sabon" w:hAnsi="Sabon" w:cs="Times New Roman"/>
      <w:sz w:val="22"/>
      <w:szCs w:val="20"/>
      <w:lang w:val="en-GB" w:eastAsia="en-US" w:bidi="ar-SA"/>
    </w:rPr>
  </w:style>
  <w:style w:type="paragraph" w:styleId="a3">
    <w:name w:val="Date"/>
    <w:basedOn w:val="a"/>
    <w:next w:val="a"/>
    <w:rsid w:val="00800C18"/>
    <w:pPr>
      <w:bidi w:val="0"/>
      <w:spacing w:before="420" w:after="538" w:line="270" w:lineRule="exact"/>
    </w:pPr>
    <w:rPr>
      <w:rFonts w:ascii="Sabon" w:hAnsi="Sabon" w:cs="Times New Roman"/>
      <w:sz w:val="22"/>
      <w:szCs w:val="20"/>
      <w:lang w:val="en-GB" w:eastAsia="en-US" w:bidi="ar-SA"/>
    </w:rPr>
  </w:style>
  <w:style w:type="paragraph" w:styleId="a4">
    <w:name w:val="header"/>
    <w:basedOn w:val="a"/>
    <w:rsid w:val="007751AF"/>
    <w:pPr>
      <w:tabs>
        <w:tab w:val="center" w:pos="4153"/>
        <w:tab w:val="right" w:pos="8306"/>
      </w:tabs>
    </w:pPr>
  </w:style>
  <w:style w:type="paragraph" w:styleId="a5">
    <w:name w:val="footer"/>
    <w:basedOn w:val="a"/>
    <w:rsid w:val="007751AF"/>
    <w:pPr>
      <w:tabs>
        <w:tab w:val="center" w:pos="4153"/>
        <w:tab w:val="right" w:pos="8306"/>
      </w:tabs>
    </w:pPr>
  </w:style>
  <w:style w:type="character" w:styleId="a6">
    <w:name w:val="page number"/>
    <w:basedOn w:val="a0"/>
    <w:rsid w:val="007751AF"/>
  </w:style>
  <w:style w:type="paragraph" w:customStyle="1" w:styleId="CharChar">
    <w:name w:val="Char Char"/>
    <w:basedOn w:val="a"/>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a"/>
    <w:rsid w:val="001B0DD2"/>
    <w:pPr>
      <w:bidi w:val="0"/>
      <w:spacing w:after="160" w:line="240" w:lineRule="exact"/>
    </w:pPr>
    <w:rPr>
      <w:rFonts w:ascii="Tahoma" w:hAnsi="Tahoma" w:cs="Times New Roman"/>
      <w:sz w:val="20"/>
      <w:szCs w:val="20"/>
      <w:lang w:eastAsia="en-US" w:bidi="ar-SA"/>
    </w:rPr>
  </w:style>
  <w:style w:type="character" w:customStyle="1" w:styleId="40">
    <w:name w:val="כותרת 4 תו"/>
    <w:basedOn w:val="a0"/>
    <w:link w:val="4"/>
    <w:uiPriority w:val="9"/>
    <w:rsid w:val="00B84818"/>
    <w:rPr>
      <w:rFonts w:ascii="Calibri" w:eastAsia="Times New Roman" w:hAnsi="Calibri" w:cs="Arial"/>
      <w:b/>
      <w:bCs/>
      <w:sz w:val="28"/>
      <w:szCs w:val="28"/>
      <w:lang w:eastAsia="he-IL"/>
    </w:rPr>
  </w:style>
  <w:style w:type="paragraph" w:styleId="a7">
    <w:name w:val="Body Text"/>
    <w:basedOn w:val="a"/>
    <w:link w:val="a8"/>
    <w:uiPriority w:val="99"/>
    <w:semiHidden/>
    <w:unhideWhenUsed/>
    <w:rsid w:val="00B84818"/>
    <w:pPr>
      <w:spacing w:after="120"/>
    </w:pPr>
  </w:style>
  <w:style w:type="character" w:customStyle="1" w:styleId="a8">
    <w:name w:val="גוף טקסט תו"/>
    <w:basedOn w:val="a0"/>
    <w:link w:val="a7"/>
    <w:uiPriority w:val="99"/>
    <w:semiHidden/>
    <w:rsid w:val="00B84818"/>
    <w:rPr>
      <w:rFonts w:cs="David"/>
      <w:sz w:val="24"/>
      <w:szCs w:val="24"/>
      <w:lang w:eastAsia="he-IL"/>
    </w:rPr>
  </w:style>
  <w:style w:type="paragraph" w:styleId="a9">
    <w:name w:val="Balloon Text"/>
    <w:basedOn w:val="a"/>
    <w:link w:val="aa"/>
    <w:uiPriority w:val="99"/>
    <w:semiHidden/>
    <w:unhideWhenUsed/>
    <w:rsid w:val="000C2846"/>
    <w:rPr>
      <w:rFonts w:ascii="Tahoma" w:hAnsi="Tahoma" w:cs="Tahoma"/>
      <w:sz w:val="16"/>
      <w:szCs w:val="16"/>
    </w:rPr>
  </w:style>
  <w:style w:type="character" w:customStyle="1" w:styleId="aa">
    <w:name w:val="טקסט בלונים תו"/>
    <w:basedOn w:val="a0"/>
    <w:link w:val="a9"/>
    <w:uiPriority w:val="99"/>
    <w:semiHidden/>
    <w:rsid w:val="000C2846"/>
    <w:rPr>
      <w:rFonts w:ascii="Tahoma" w:hAnsi="Tahoma" w:cs="Tahoma"/>
      <w:sz w:val="16"/>
      <w:szCs w:val="16"/>
      <w:lang w:eastAsia="he-IL"/>
    </w:rPr>
  </w:style>
  <w:style w:type="character" w:customStyle="1" w:styleId="20">
    <w:name w:val="כותרת 2 תו"/>
    <w:basedOn w:val="a0"/>
    <w:link w:val="2"/>
    <w:rsid w:val="000C2846"/>
    <w:rPr>
      <w:rFonts w:ascii="Arial" w:hAnsi="Arial" w:cs="Arial"/>
      <w:b/>
      <w:bCs/>
      <w:i/>
      <w:iCs/>
      <w:sz w:val="28"/>
      <w:szCs w:val="28"/>
      <w:lang w:eastAsia="he-IL"/>
    </w:rPr>
  </w:style>
  <w:style w:type="character" w:customStyle="1" w:styleId="TextChar">
    <w:name w:val="Text Char"/>
    <w:basedOn w:val="a0"/>
    <w:link w:val="Text"/>
    <w:rsid w:val="000C2846"/>
    <w:rPr>
      <w:rFonts w:ascii="Sabon" w:hAnsi="Sabon"/>
      <w:sz w:val="22"/>
      <w:lang w:val="en-GB" w:bidi="ar-SA"/>
    </w:rPr>
  </w:style>
  <w:style w:type="paragraph" w:customStyle="1" w:styleId="Nottoc-headings">
    <w:name w:val="Not toc-headings"/>
    <w:basedOn w:val="a"/>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a0"/>
    <w:link w:val="Nottoc-headings"/>
    <w:rsid w:val="000C2846"/>
    <w:rPr>
      <w:rFonts w:ascii="Arial" w:hAnsi="Arial" w:cs="David"/>
      <w:b/>
      <w:bCs/>
      <w:sz w:val="22"/>
      <w:szCs w:val="22"/>
      <w:lang w:val="en-GB" w:eastAsia="he-IL"/>
    </w:rPr>
  </w:style>
  <w:style w:type="paragraph" w:customStyle="1" w:styleId="Comment">
    <w:name w:val="Comment"/>
    <w:basedOn w:val="a"/>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ab">
    <w:name w:val="Document Map"/>
    <w:basedOn w:val="a"/>
    <w:link w:val="ac"/>
    <w:uiPriority w:val="99"/>
    <w:semiHidden/>
    <w:unhideWhenUsed/>
    <w:rsid w:val="000B5E6F"/>
    <w:rPr>
      <w:rFonts w:ascii="Tahoma" w:hAnsi="Tahoma" w:cs="Tahoma"/>
      <w:sz w:val="16"/>
      <w:szCs w:val="16"/>
    </w:rPr>
  </w:style>
  <w:style w:type="character" w:customStyle="1" w:styleId="ac">
    <w:name w:val="מפת מסמך תו"/>
    <w:basedOn w:val="a0"/>
    <w:link w:val="ab"/>
    <w:uiPriority w:val="99"/>
    <w:semiHidden/>
    <w:rsid w:val="000B5E6F"/>
    <w:rPr>
      <w:rFonts w:ascii="Tahoma" w:hAnsi="Tahoma" w:cs="Tahoma"/>
      <w:sz w:val="16"/>
      <w:szCs w:val="16"/>
      <w:lang w:eastAsia="he-IL"/>
    </w:rPr>
  </w:style>
  <w:style w:type="paragraph" w:customStyle="1" w:styleId="Char">
    <w:name w:val="Char תו תו"/>
    <w:basedOn w:val="a"/>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ad">
    <w:name w:val="annotation reference"/>
    <w:basedOn w:val="a0"/>
    <w:semiHidden/>
    <w:rsid w:val="00057A26"/>
    <w:rPr>
      <w:sz w:val="16"/>
      <w:szCs w:val="16"/>
    </w:rPr>
  </w:style>
  <w:style w:type="paragraph" w:styleId="ae">
    <w:name w:val="List Paragraph"/>
    <w:basedOn w:val="a"/>
    <w:uiPriority w:val="34"/>
    <w:qFormat/>
    <w:rsid w:val="00036E46"/>
    <w:pPr>
      <w:ind w:left="720"/>
      <w:contextualSpacing/>
    </w:pPr>
  </w:style>
  <w:style w:type="character" w:customStyle="1" w:styleId="TextChar1">
    <w:name w:val="Text Char1"/>
    <w:rsid w:val="00C95D35"/>
    <w:rPr>
      <w:sz w:val="24"/>
      <w:szCs w:val="24"/>
      <w:lang w:val="en-US" w:eastAsia="en-US" w:bidi="ar-SA"/>
    </w:rPr>
  </w:style>
  <w:style w:type="paragraph" w:customStyle="1" w:styleId="Legend">
    <w:name w:val="Legend"/>
    <w:basedOn w:val="Table"/>
    <w:rsid w:val="00F03163"/>
    <w:rPr>
      <w:rFonts w:eastAsia="MS Mincho"/>
      <w:szCs w:val="24"/>
      <w:lang w:val="en-US" w:eastAsia="en-US"/>
    </w:rPr>
  </w:style>
  <w:style w:type="table" w:styleId="af">
    <w:name w:val="Table Grid"/>
    <w:basedOn w:val="a1"/>
    <w:uiPriority w:val="59"/>
    <w:rsid w:val="008E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semiHidden/>
    <w:unhideWhenUsed/>
    <w:rsid w:val="001E06D6"/>
    <w:pPr>
      <w:bidi w:val="0"/>
    </w:pPr>
    <w:rPr>
      <w:rFonts w:eastAsia="MS Mincho" w:cs="Times New Roman"/>
      <w:sz w:val="20"/>
      <w:szCs w:val="20"/>
      <w:lang w:eastAsia="ja-JP" w:bidi="ar-SA"/>
    </w:rPr>
  </w:style>
  <w:style w:type="character" w:customStyle="1" w:styleId="af1">
    <w:name w:val="טקסט הערה תו"/>
    <w:basedOn w:val="a0"/>
    <w:link w:val="af0"/>
    <w:semiHidden/>
    <w:rsid w:val="001E06D6"/>
    <w:rPr>
      <w:rFonts w:eastAsia="MS Mincho"/>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0C"/>
    <w:pPr>
      <w:bidi/>
    </w:pPr>
    <w:rPr>
      <w:rFonts w:cs="David"/>
      <w:sz w:val="24"/>
      <w:szCs w:val="24"/>
      <w:lang w:eastAsia="he-IL"/>
    </w:rPr>
  </w:style>
  <w:style w:type="paragraph" w:styleId="1">
    <w:name w:val="heading 1"/>
    <w:basedOn w:val="a"/>
    <w:next w:val="a"/>
    <w:qFormat/>
    <w:rsid w:val="00943C7B"/>
    <w:pPr>
      <w:keepNext/>
      <w:jc w:val="center"/>
      <w:outlineLvl w:val="0"/>
    </w:pPr>
    <w:rPr>
      <w:rFonts w:cs="Courier New"/>
      <w:b/>
      <w:bCs/>
      <w:sz w:val="20"/>
      <w:szCs w:val="36"/>
      <w:u w:val="single"/>
      <w:lang w:eastAsia="en-US"/>
    </w:rPr>
  </w:style>
  <w:style w:type="paragraph" w:styleId="2">
    <w:name w:val="heading 2"/>
    <w:basedOn w:val="a"/>
    <w:next w:val="a"/>
    <w:link w:val="20"/>
    <w:qFormat/>
    <w:rsid w:val="000C2846"/>
    <w:pPr>
      <w:keepNext/>
      <w:spacing w:before="240" w:after="60"/>
      <w:outlineLvl w:val="1"/>
    </w:pPr>
    <w:rPr>
      <w:rFonts w:ascii="Arial" w:hAnsi="Arial" w:cs="Arial"/>
      <w:b/>
      <w:bCs/>
      <w:i/>
      <w:iCs/>
      <w:sz w:val="28"/>
      <w:szCs w:val="28"/>
    </w:rPr>
  </w:style>
  <w:style w:type="paragraph" w:styleId="3">
    <w:name w:val="heading 3"/>
    <w:basedOn w:val="a"/>
    <w:next w:val="a"/>
    <w:qFormat/>
    <w:rsid w:val="00943C7B"/>
    <w:pPr>
      <w:keepNext/>
      <w:ind w:right="-993"/>
      <w:jc w:val="center"/>
      <w:outlineLvl w:val="2"/>
    </w:pPr>
    <w:rPr>
      <w:rFonts w:cs="Tahoma"/>
      <w:b/>
      <w:bCs/>
      <w:sz w:val="20"/>
      <w:szCs w:val="28"/>
      <w:lang w:eastAsia="en-US"/>
    </w:rPr>
  </w:style>
  <w:style w:type="paragraph" w:styleId="4">
    <w:name w:val="heading 4"/>
    <w:basedOn w:val="a"/>
    <w:next w:val="a"/>
    <w:link w:val="40"/>
    <w:uiPriority w:val="9"/>
    <w:unhideWhenUsed/>
    <w:qFormat/>
    <w:rsid w:val="00B84818"/>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981824"/>
    <w:rPr>
      <w:noProof/>
    </w:rPr>
  </w:style>
  <w:style w:type="paragraph" w:styleId="30">
    <w:name w:val="Body Text 3"/>
    <w:basedOn w:val="a"/>
    <w:rsid w:val="00106FFC"/>
    <w:pPr>
      <w:spacing w:after="120"/>
    </w:pPr>
    <w:rPr>
      <w:sz w:val="16"/>
      <w:szCs w:val="16"/>
    </w:rPr>
  </w:style>
  <w:style w:type="paragraph" w:customStyle="1" w:styleId="paragraph">
    <w:name w:val="paragraph"/>
    <w:basedOn w:val="a"/>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a"/>
    <w:link w:val="TextChar"/>
    <w:rsid w:val="00800C18"/>
    <w:pPr>
      <w:bidi w:val="0"/>
      <w:spacing w:before="120" w:line="270" w:lineRule="exact"/>
      <w:jc w:val="both"/>
    </w:pPr>
    <w:rPr>
      <w:rFonts w:ascii="Sabon" w:hAnsi="Sabon" w:cs="Times New Roman"/>
      <w:sz w:val="22"/>
      <w:szCs w:val="20"/>
      <w:lang w:val="en-GB" w:eastAsia="en-US" w:bidi="ar-SA"/>
    </w:rPr>
  </w:style>
  <w:style w:type="paragraph" w:styleId="a3">
    <w:name w:val="Date"/>
    <w:basedOn w:val="a"/>
    <w:next w:val="a"/>
    <w:rsid w:val="00800C18"/>
    <w:pPr>
      <w:bidi w:val="0"/>
      <w:spacing w:before="420" w:after="538" w:line="270" w:lineRule="exact"/>
    </w:pPr>
    <w:rPr>
      <w:rFonts w:ascii="Sabon" w:hAnsi="Sabon" w:cs="Times New Roman"/>
      <w:sz w:val="22"/>
      <w:szCs w:val="20"/>
      <w:lang w:val="en-GB" w:eastAsia="en-US" w:bidi="ar-SA"/>
    </w:rPr>
  </w:style>
  <w:style w:type="paragraph" w:styleId="a4">
    <w:name w:val="header"/>
    <w:basedOn w:val="a"/>
    <w:rsid w:val="007751AF"/>
    <w:pPr>
      <w:tabs>
        <w:tab w:val="center" w:pos="4153"/>
        <w:tab w:val="right" w:pos="8306"/>
      </w:tabs>
    </w:pPr>
  </w:style>
  <w:style w:type="paragraph" w:styleId="a5">
    <w:name w:val="footer"/>
    <w:basedOn w:val="a"/>
    <w:rsid w:val="007751AF"/>
    <w:pPr>
      <w:tabs>
        <w:tab w:val="center" w:pos="4153"/>
        <w:tab w:val="right" w:pos="8306"/>
      </w:tabs>
    </w:pPr>
  </w:style>
  <w:style w:type="character" w:styleId="a6">
    <w:name w:val="page number"/>
    <w:basedOn w:val="a0"/>
    <w:rsid w:val="007751AF"/>
  </w:style>
  <w:style w:type="paragraph" w:customStyle="1" w:styleId="CharChar">
    <w:name w:val="Char Char"/>
    <w:basedOn w:val="a"/>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a"/>
    <w:rsid w:val="001B0DD2"/>
    <w:pPr>
      <w:bidi w:val="0"/>
      <w:spacing w:after="160" w:line="240" w:lineRule="exact"/>
    </w:pPr>
    <w:rPr>
      <w:rFonts w:ascii="Tahoma" w:hAnsi="Tahoma" w:cs="Times New Roman"/>
      <w:sz w:val="20"/>
      <w:szCs w:val="20"/>
      <w:lang w:eastAsia="en-US" w:bidi="ar-SA"/>
    </w:rPr>
  </w:style>
  <w:style w:type="character" w:customStyle="1" w:styleId="40">
    <w:name w:val="כותרת 4 תו"/>
    <w:basedOn w:val="a0"/>
    <w:link w:val="4"/>
    <w:uiPriority w:val="9"/>
    <w:rsid w:val="00B84818"/>
    <w:rPr>
      <w:rFonts w:ascii="Calibri" w:eastAsia="Times New Roman" w:hAnsi="Calibri" w:cs="Arial"/>
      <w:b/>
      <w:bCs/>
      <w:sz w:val="28"/>
      <w:szCs w:val="28"/>
      <w:lang w:eastAsia="he-IL"/>
    </w:rPr>
  </w:style>
  <w:style w:type="paragraph" w:styleId="a7">
    <w:name w:val="Body Text"/>
    <w:basedOn w:val="a"/>
    <w:link w:val="a8"/>
    <w:uiPriority w:val="99"/>
    <w:semiHidden/>
    <w:unhideWhenUsed/>
    <w:rsid w:val="00B84818"/>
    <w:pPr>
      <w:spacing w:after="120"/>
    </w:pPr>
  </w:style>
  <w:style w:type="character" w:customStyle="1" w:styleId="a8">
    <w:name w:val="גוף טקסט תו"/>
    <w:basedOn w:val="a0"/>
    <w:link w:val="a7"/>
    <w:uiPriority w:val="99"/>
    <w:semiHidden/>
    <w:rsid w:val="00B84818"/>
    <w:rPr>
      <w:rFonts w:cs="David"/>
      <w:sz w:val="24"/>
      <w:szCs w:val="24"/>
      <w:lang w:eastAsia="he-IL"/>
    </w:rPr>
  </w:style>
  <w:style w:type="paragraph" w:styleId="a9">
    <w:name w:val="Balloon Text"/>
    <w:basedOn w:val="a"/>
    <w:link w:val="aa"/>
    <w:uiPriority w:val="99"/>
    <w:semiHidden/>
    <w:unhideWhenUsed/>
    <w:rsid w:val="000C2846"/>
    <w:rPr>
      <w:rFonts w:ascii="Tahoma" w:hAnsi="Tahoma" w:cs="Tahoma"/>
      <w:sz w:val="16"/>
      <w:szCs w:val="16"/>
    </w:rPr>
  </w:style>
  <w:style w:type="character" w:customStyle="1" w:styleId="aa">
    <w:name w:val="טקסט בלונים תו"/>
    <w:basedOn w:val="a0"/>
    <w:link w:val="a9"/>
    <w:uiPriority w:val="99"/>
    <w:semiHidden/>
    <w:rsid w:val="000C2846"/>
    <w:rPr>
      <w:rFonts w:ascii="Tahoma" w:hAnsi="Tahoma" w:cs="Tahoma"/>
      <w:sz w:val="16"/>
      <w:szCs w:val="16"/>
      <w:lang w:eastAsia="he-IL"/>
    </w:rPr>
  </w:style>
  <w:style w:type="character" w:customStyle="1" w:styleId="20">
    <w:name w:val="כותרת 2 תו"/>
    <w:basedOn w:val="a0"/>
    <w:link w:val="2"/>
    <w:rsid w:val="000C2846"/>
    <w:rPr>
      <w:rFonts w:ascii="Arial" w:hAnsi="Arial" w:cs="Arial"/>
      <w:b/>
      <w:bCs/>
      <w:i/>
      <w:iCs/>
      <w:sz w:val="28"/>
      <w:szCs w:val="28"/>
      <w:lang w:eastAsia="he-IL"/>
    </w:rPr>
  </w:style>
  <w:style w:type="character" w:customStyle="1" w:styleId="TextChar">
    <w:name w:val="Text Char"/>
    <w:basedOn w:val="a0"/>
    <w:link w:val="Text"/>
    <w:rsid w:val="000C2846"/>
    <w:rPr>
      <w:rFonts w:ascii="Sabon" w:hAnsi="Sabon"/>
      <w:sz w:val="22"/>
      <w:lang w:val="en-GB" w:bidi="ar-SA"/>
    </w:rPr>
  </w:style>
  <w:style w:type="paragraph" w:customStyle="1" w:styleId="Nottoc-headings">
    <w:name w:val="Not toc-headings"/>
    <w:basedOn w:val="a"/>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a0"/>
    <w:link w:val="Nottoc-headings"/>
    <w:rsid w:val="000C2846"/>
    <w:rPr>
      <w:rFonts w:ascii="Arial" w:hAnsi="Arial" w:cs="David"/>
      <w:b/>
      <w:bCs/>
      <w:sz w:val="22"/>
      <w:szCs w:val="22"/>
      <w:lang w:val="en-GB" w:eastAsia="he-IL"/>
    </w:rPr>
  </w:style>
  <w:style w:type="paragraph" w:customStyle="1" w:styleId="Comment">
    <w:name w:val="Comment"/>
    <w:basedOn w:val="a"/>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ab">
    <w:name w:val="Document Map"/>
    <w:basedOn w:val="a"/>
    <w:link w:val="ac"/>
    <w:uiPriority w:val="99"/>
    <w:semiHidden/>
    <w:unhideWhenUsed/>
    <w:rsid w:val="000B5E6F"/>
    <w:rPr>
      <w:rFonts w:ascii="Tahoma" w:hAnsi="Tahoma" w:cs="Tahoma"/>
      <w:sz w:val="16"/>
      <w:szCs w:val="16"/>
    </w:rPr>
  </w:style>
  <w:style w:type="character" w:customStyle="1" w:styleId="ac">
    <w:name w:val="מפת מסמך תו"/>
    <w:basedOn w:val="a0"/>
    <w:link w:val="ab"/>
    <w:uiPriority w:val="99"/>
    <w:semiHidden/>
    <w:rsid w:val="000B5E6F"/>
    <w:rPr>
      <w:rFonts w:ascii="Tahoma" w:hAnsi="Tahoma" w:cs="Tahoma"/>
      <w:sz w:val="16"/>
      <w:szCs w:val="16"/>
      <w:lang w:eastAsia="he-IL"/>
    </w:rPr>
  </w:style>
  <w:style w:type="paragraph" w:customStyle="1" w:styleId="Char">
    <w:name w:val="Char תו תו"/>
    <w:basedOn w:val="a"/>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ad">
    <w:name w:val="annotation reference"/>
    <w:basedOn w:val="a0"/>
    <w:semiHidden/>
    <w:rsid w:val="00057A26"/>
    <w:rPr>
      <w:sz w:val="16"/>
      <w:szCs w:val="16"/>
    </w:rPr>
  </w:style>
  <w:style w:type="paragraph" w:styleId="ae">
    <w:name w:val="List Paragraph"/>
    <w:basedOn w:val="a"/>
    <w:uiPriority w:val="34"/>
    <w:qFormat/>
    <w:rsid w:val="00036E46"/>
    <w:pPr>
      <w:ind w:left="720"/>
      <w:contextualSpacing/>
    </w:pPr>
  </w:style>
  <w:style w:type="character" w:customStyle="1" w:styleId="TextChar1">
    <w:name w:val="Text Char1"/>
    <w:rsid w:val="00C95D35"/>
    <w:rPr>
      <w:sz w:val="24"/>
      <w:szCs w:val="24"/>
      <w:lang w:val="en-US" w:eastAsia="en-US" w:bidi="ar-SA"/>
    </w:rPr>
  </w:style>
  <w:style w:type="paragraph" w:customStyle="1" w:styleId="Legend">
    <w:name w:val="Legend"/>
    <w:basedOn w:val="Table"/>
    <w:rsid w:val="00F03163"/>
    <w:rPr>
      <w:rFonts w:eastAsia="MS Mincho"/>
      <w:szCs w:val="24"/>
      <w:lang w:val="en-US" w:eastAsia="en-US"/>
    </w:rPr>
  </w:style>
  <w:style w:type="table" w:styleId="af">
    <w:name w:val="Table Grid"/>
    <w:basedOn w:val="a1"/>
    <w:uiPriority w:val="59"/>
    <w:rsid w:val="008E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annotation text"/>
    <w:basedOn w:val="a"/>
    <w:link w:val="af1"/>
    <w:semiHidden/>
    <w:unhideWhenUsed/>
    <w:rsid w:val="001E06D6"/>
    <w:pPr>
      <w:bidi w:val="0"/>
    </w:pPr>
    <w:rPr>
      <w:rFonts w:eastAsia="MS Mincho" w:cs="Times New Roman"/>
      <w:sz w:val="20"/>
      <w:szCs w:val="20"/>
      <w:lang w:eastAsia="ja-JP" w:bidi="ar-SA"/>
    </w:rPr>
  </w:style>
  <w:style w:type="character" w:customStyle="1" w:styleId="af1">
    <w:name w:val="טקסט הערה תו"/>
    <w:basedOn w:val="a0"/>
    <w:link w:val="af0"/>
    <w:semiHidden/>
    <w:rsid w:val="001E06D6"/>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8275">
      <w:bodyDiv w:val="1"/>
      <w:marLeft w:val="0"/>
      <w:marRight w:val="0"/>
      <w:marTop w:val="0"/>
      <w:marBottom w:val="0"/>
      <w:divBdr>
        <w:top w:val="none" w:sz="0" w:space="0" w:color="auto"/>
        <w:left w:val="none" w:sz="0" w:space="0" w:color="auto"/>
        <w:bottom w:val="none" w:sz="0" w:space="0" w:color="auto"/>
        <w:right w:val="none" w:sz="0" w:space="0" w:color="auto"/>
      </w:divBdr>
    </w:div>
    <w:div w:id="487744251">
      <w:bodyDiv w:val="1"/>
      <w:marLeft w:val="0"/>
      <w:marRight w:val="0"/>
      <w:marTop w:val="0"/>
      <w:marBottom w:val="0"/>
      <w:divBdr>
        <w:top w:val="none" w:sz="0" w:space="0" w:color="auto"/>
        <w:left w:val="none" w:sz="0" w:space="0" w:color="auto"/>
        <w:bottom w:val="none" w:sz="0" w:space="0" w:color="auto"/>
        <w:right w:val="none" w:sz="0" w:space="0" w:color="auto"/>
      </w:divBdr>
    </w:div>
    <w:div w:id="567377111">
      <w:bodyDiv w:val="1"/>
      <w:marLeft w:val="0"/>
      <w:marRight w:val="0"/>
      <w:marTop w:val="0"/>
      <w:marBottom w:val="0"/>
      <w:divBdr>
        <w:top w:val="none" w:sz="0" w:space="0" w:color="auto"/>
        <w:left w:val="none" w:sz="0" w:space="0" w:color="auto"/>
        <w:bottom w:val="none" w:sz="0" w:space="0" w:color="auto"/>
        <w:right w:val="none" w:sz="0" w:space="0" w:color="auto"/>
      </w:divBdr>
    </w:div>
    <w:div w:id="640426060">
      <w:bodyDiv w:val="1"/>
      <w:marLeft w:val="0"/>
      <w:marRight w:val="0"/>
      <w:marTop w:val="0"/>
      <w:marBottom w:val="0"/>
      <w:divBdr>
        <w:top w:val="none" w:sz="0" w:space="0" w:color="auto"/>
        <w:left w:val="none" w:sz="0" w:space="0" w:color="auto"/>
        <w:bottom w:val="none" w:sz="0" w:space="0" w:color="auto"/>
        <w:right w:val="none" w:sz="0" w:space="0" w:color="auto"/>
      </w:divBdr>
    </w:div>
    <w:div w:id="966348981">
      <w:bodyDiv w:val="1"/>
      <w:marLeft w:val="0"/>
      <w:marRight w:val="0"/>
      <w:marTop w:val="0"/>
      <w:marBottom w:val="0"/>
      <w:divBdr>
        <w:top w:val="none" w:sz="0" w:space="0" w:color="auto"/>
        <w:left w:val="none" w:sz="0" w:space="0" w:color="auto"/>
        <w:bottom w:val="none" w:sz="0" w:space="0" w:color="auto"/>
        <w:right w:val="none" w:sz="0" w:space="0" w:color="auto"/>
      </w:divBdr>
    </w:div>
    <w:div w:id="988292291">
      <w:bodyDiv w:val="1"/>
      <w:marLeft w:val="0"/>
      <w:marRight w:val="0"/>
      <w:marTop w:val="0"/>
      <w:marBottom w:val="0"/>
      <w:divBdr>
        <w:top w:val="none" w:sz="0" w:space="0" w:color="auto"/>
        <w:left w:val="none" w:sz="0" w:space="0" w:color="auto"/>
        <w:bottom w:val="none" w:sz="0" w:space="0" w:color="auto"/>
        <w:right w:val="none" w:sz="0" w:space="0" w:color="auto"/>
      </w:divBdr>
    </w:div>
    <w:div w:id="1458525710">
      <w:bodyDiv w:val="1"/>
      <w:marLeft w:val="0"/>
      <w:marRight w:val="0"/>
      <w:marTop w:val="0"/>
      <w:marBottom w:val="0"/>
      <w:divBdr>
        <w:top w:val="none" w:sz="0" w:space="0" w:color="auto"/>
        <w:left w:val="none" w:sz="0" w:space="0" w:color="auto"/>
        <w:bottom w:val="none" w:sz="0" w:space="0" w:color="auto"/>
        <w:right w:val="none" w:sz="0" w:space="0" w:color="auto"/>
      </w:divBdr>
    </w:div>
    <w:div w:id="1546990457">
      <w:bodyDiv w:val="1"/>
      <w:marLeft w:val="0"/>
      <w:marRight w:val="0"/>
      <w:marTop w:val="0"/>
      <w:marBottom w:val="0"/>
      <w:divBdr>
        <w:top w:val="none" w:sz="0" w:space="0" w:color="auto"/>
        <w:left w:val="none" w:sz="0" w:space="0" w:color="auto"/>
        <w:bottom w:val="none" w:sz="0" w:space="0" w:color="auto"/>
        <w:right w:val="none" w:sz="0" w:space="0" w:color="auto"/>
      </w:divBdr>
    </w:div>
    <w:div w:id="1566376190">
      <w:bodyDiv w:val="1"/>
      <w:marLeft w:val="0"/>
      <w:marRight w:val="0"/>
      <w:marTop w:val="0"/>
      <w:marBottom w:val="0"/>
      <w:divBdr>
        <w:top w:val="none" w:sz="0" w:space="0" w:color="auto"/>
        <w:left w:val="none" w:sz="0" w:space="0" w:color="auto"/>
        <w:bottom w:val="none" w:sz="0" w:space="0" w:color="auto"/>
        <w:right w:val="none" w:sz="0" w:space="0" w:color="auto"/>
      </w:divBdr>
    </w:div>
    <w:div w:id="1591701200">
      <w:bodyDiv w:val="1"/>
      <w:marLeft w:val="0"/>
      <w:marRight w:val="0"/>
      <w:marTop w:val="0"/>
      <w:marBottom w:val="0"/>
      <w:divBdr>
        <w:top w:val="none" w:sz="0" w:space="0" w:color="auto"/>
        <w:left w:val="none" w:sz="0" w:space="0" w:color="auto"/>
        <w:bottom w:val="none" w:sz="0" w:space="0" w:color="auto"/>
        <w:right w:val="none" w:sz="0" w:space="0" w:color="auto"/>
      </w:divBdr>
    </w:div>
    <w:div w:id="1716150238">
      <w:bodyDiv w:val="1"/>
      <w:marLeft w:val="0"/>
      <w:marRight w:val="0"/>
      <w:marTop w:val="0"/>
      <w:marBottom w:val="0"/>
      <w:divBdr>
        <w:top w:val="none" w:sz="0" w:space="0" w:color="auto"/>
        <w:left w:val="none" w:sz="0" w:space="0" w:color="auto"/>
        <w:bottom w:val="none" w:sz="0" w:space="0" w:color="auto"/>
        <w:right w:val="none" w:sz="0" w:space="0" w:color="auto"/>
      </w:divBdr>
    </w:div>
    <w:div w:id="1856377585">
      <w:bodyDiv w:val="1"/>
      <w:marLeft w:val="0"/>
      <w:marRight w:val="0"/>
      <w:marTop w:val="0"/>
      <w:marBottom w:val="0"/>
      <w:divBdr>
        <w:top w:val="none" w:sz="0" w:space="0" w:color="auto"/>
        <w:left w:val="none" w:sz="0" w:space="0" w:color="auto"/>
        <w:bottom w:val="none" w:sz="0" w:space="0" w:color="auto"/>
        <w:right w:val="none" w:sz="0" w:space="0" w:color="auto"/>
      </w:divBdr>
    </w:div>
    <w:div w:id="2014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169957616</AutoNumber>
    <REQUESTNUMBER xmlns="43f5c83f-d7ad-4276-a107-8019a824ecd5">91544,91888</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47435,47435</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REQUESTTYPE>
    <UCOMMENTS xmlns="43f5c83f-d7ad-4276-a107-8019a824ecd5">טופס החמרות לעלון לרופא ולעלון לצרכן 06.14</UCOMMENTS>
    <OWNER xmlns="43f5c83f-d7ad-4276-a107-8019a824ecd5">700,700</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2870700,2870800</REGISTRATIONNUMBER>
    <SDCategories xmlns="43f5c83f-d7ad-4276-a107-8019a824ecd5" xsi:nil="true"/>
    <SDDocDate xmlns="43f5c83f-d7ad-4276-a107-8019a824ecd5">1903-03-03T06:00:01+00:00</SDDocDate>
    <DRAGOBJID xmlns="43f5c83f-d7ad-4276-a107-8019a824ecd5">2870700,2870800</DRAGOBJID>
    <mossuploaddate xmlns="43f5c83f-d7ad-4276-a107-8019a824ecd5">2014-06-24 13:59:25</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F0614-1FF8-48E0-B06E-A6E6BAC6B359}"/>
</file>

<file path=customXml/itemProps2.xml><?xml version="1.0" encoding="utf-8"?>
<ds:datastoreItem xmlns:ds="http://schemas.openxmlformats.org/officeDocument/2006/customXml" ds:itemID="{886E4FFE-2366-4018-A5BA-87E709A9AF4B}"/>
</file>

<file path=customXml/itemProps3.xml><?xml version="1.0" encoding="utf-8"?>
<ds:datastoreItem xmlns:ds="http://schemas.openxmlformats.org/officeDocument/2006/customXml" ds:itemID="{90174AAF-8648-4405-839A-0205EB4B1A4E}"/>
</file>

<file path=customXml/itemProps4.xml><?xml version="1.0" encoding="utf-8"?>
<ds:datastoreItem xmlns:ds="http://schemas.openxmlformats.org/officeDocument/2006/customXml" ds:itemID="{FF128B6A-EE6B-49F8-805C-D096BE689F90}"/>
</file>

<file path=docProps/app.xml><?xml version="1.0" encoding="utf-8"?>
<Properties xmlns="http://schemas.openxmlformats.org/officeDocument/2006/extended-properties" xmlns:vt="http://schemas.openxmlformats.org/officeDocument/2006/docPropsVTypes">
  <Template>Normal</Template>
  <TotalTime>1</TotalTime>
  <Pages>9</Pages>
  <Words>2226</Words>
  <Characters>12727</Characters>
  <Application>Microsoft Office Word</Application>
  <DocSecurity>0</DocSecurity>
  <Lines>106</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 </vt:lpstr>
    </vt:vector>
  </TitlesOfParts>
  <Company>Ministry of Health</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trileptin 300 600 28707 28708 pil spc worsening  06.14</dc:title>
  <dc:creator>g</dc:creator>
  <cp:lastModifiedBy>מילי דיוינסקי</cp:lastModifiedBy>
  <cp:revision>3</cp:revision>
  <cp:lastPrinted>2014-03-17T11:15:00Z</cp:lastPrinted>
  <dcterms:created xsi:type="dcterms:W3CDTF">2014-04-03T13:07:00Z</dcterms:created>
  <dcterms:modified xsi:type="dcterms:W3CDTF">2014-04-06T05:34:00Z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