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Default="00A9463E" w:rsidP="003474D8">
      <w:pPr>
        <w:pStyle w:val="Heading1"/>
        <w:ind w:left="-285" w:right="-142" w:firstLine="1005"/>
        <w:rPr>
          <w:rFonts w:cs="David Transparent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בטיחות)  בעלון ל</w:t>
      </w:r>
      <w:r w:rsidR="00015456">
        <w:rPr>
          <w:rFonts w:cs="David Transparent" w:hint="cs"/>
          <w:emboss/>
          <w:color w:val="C0C0C0"/>
          <w:u w:val="none"/>
          <w:shd w:val="clear" w:color="auto" w:fill="000000"/>
          <w:rtl/>
        </w:rPr>
        <w:t>רופא</w:t>
      </w:r>
      <w:r w:rsidR="00E41CF3"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Default="00E41CF3" w:rsidP="00015456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="00A9463E"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Pr="00E04CAE" w:rsidRDefault="00A9463E" w:rsidP="00A9463E">
      <w:pPr>
        <w:rPr>
          <w:rFonts w:ascii="Calibri" w:hAnsi="Calibri" w:cs="Calibri"/>
          <w:b/>
          <w:bCs/>
          <w:rtl/>
        </w:rPr>
      </w:pPr>
    </w:p>
    <w:p w:rsidR="00A9463E" w:rsidRPr="00AC69F1" w:rsidRDefault="00A9463E" w:rsidP="00DE557A">
      <w:pPr>
        <w:spacing w:line="360" w:lineRule="auto"/>
        <w:rPr>
          <w:rFonts w:ascii="Calibri" w:hAnsi="Calibri" w:cs="Arial"/>
          <w:b/>
          <w:bCs/>
          <w:sz w:val="28"/>
          <w:szCs w:val="28"/>
          <w:rtl/>
        </w:rPr>
      </w:pPr>
      <w:r w:rsidRPr="00E04CAE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8"/>
          <w:szCs w:val="28"/>
          <w:rtl/>
        </w:rPr>
        <w:t>תא</w:t>
      </w:r>
      <w:r w:rsidR="00ED0164">
        <w:rPr>
          <w:rFonts w:ascii="Calibri" w:hAnsi="Calibri" w:cs="David Transparent" w:hint="cs"/>
          <w:b/>
          <w:bCs/>
          <w:sz w:val="28"/>
          <w:szCs w:val="28"/>
          <w:rtl/>
        </w:rPr>
        <w:t xml:space="preserve">ריך: </w:t>
      </w:r>
      <w:r w:rsidR="00DE557A"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6A02D1">
        <w:rPr>
          <w:rFonts w:ascii="Calibri" w:hAnsi="Calibri" w:cs="Calibri"/>
          <w:b/>
          <w:bCs/>
          <w:sz w:val="28"/>
          <w:szCs w:val="28"/>
          <w:u w:val="single"/>
        </w:rPr>
        <w:t>.04.2014</w:t>
      </w:r>
    </w:p>
    <w:p w:rsidR="008141F1" w:rsidRDefault="00A9463E" w:rsidP="008141F1">
      <w:pPr>
        <w:spacing w:line="360" w:lineRule="auto"/>
        <w:rPr>
          <w:rFonts w:ascii="Calibri" w:hAnsi="Calibri" w:cs="David Transparent"/>
          <w:b/>
          <w:bCs/>
          <w:szCs w:val="28"/>
          <w:rtl/>
        </w:rPr>
      </w:pPr>
      <w:r w:rsidRPr="00E04CAE">
        <w:rPr>
          <w:rFonts w:ascii="Calibri" w:hAnsi="Calibri" w:cs="David Transparent"/>
          <w:b/>
          <w:bCs/>
          <w:szCs w:val="28"/>
          <w:rtl/>
        </w:rPr>
        <w:t>שם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תכשיר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באנגלית</w:t>
      </w:r>
      <w:r w:rsidR="00410789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="00410789" w:rsidRPr="00E04CAE">
        <w:rPr>
          <w:rFonts w:ascii="Calibri" w:hAnsi="Calibri" w:cs="David Transparent"/>
          <w:b/>
          <w:bCs/>
          <w:szCs w:val="28"/>
          <w:rtl/>
        </w:rPr>
        <w:t>ומספר</w:t>
      </w:r>
      <w:r w:rsidR="00410789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="00410789" w:rsidRPr="00E04CAE">
        <w:rPr>
          <w:rFonts w:ascii="Calibri" w:hAnsi="Calibri" w:cs="David Transparent"/>
          <w:b/>
          <w:bCs/>
          <w:szCs w:val="28"/>
          <w:rtl/>
        </w:rPr>
        <w:t>הרישום</w:t>
      </w:r>
      <w:r w:rsidR="00ED0164">
        <w:rPr>
          <w:rFonts w:ascii="Calibri" w:hAnsi="Calibri" w:cs="David Transparent" w:hint="cs"/>
          <w:b/>
          <w:bCs/>
          <w:szCs w:val="28"/>
          <w:rtl/>
        </w:rPr>
        <w:t>:</w:t>
      </w:r>
    </w:p>
    <w:p w:rsidR="00A9463E" w:rsidRPr="008141F1" w:rsidRDefault="008141F1" w:rsidP="008141F1">
      <w:pPr>
        <w:spacing w:line="360" w:lineRule="auto"/>
        <w:rPr>
          <w:rFonts w:ascii="Calibri" w:hAnsi="Calibri" w:cstheme="minorBidi"/>
          <w:b/>
          <w:bCs/>
          <w:szCs w:val="28"/>
          <w:u w:val="single"/>
          <w:rtl/>
        </w:rPr>
      </w:pPr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139-62-31671</w:t>
      </w:r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</w:rPr>
        <w:t>;</w:t>
      </w:r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139-61-31670</w:t>
      </w:r>
      <w:r w:rsidR="00ED01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DA1744" w:rsidRPr="008141F1">
        <w:rPr>
          <w:rFonts w:ascii="Calibri" w:hAnsi="Calibri" w:cs="Calibri"/>
          <w:b/>
          <w:bCs/>
          <w:szCs w:val="28"/>
          <w:u w:val="single"/>
          <w:rtl/>
        </w:rPr>
        <w:t xml:space="preserve"> </w:t>
      </w:r>
      <w:proofErr w:type="spellStart"/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</w:rPr>
        <w:t>Celsentri</w:t>
      </w:r>
      <w:proofErr w:type="spellEnd"/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150mg &amp; </w:t>
      </w:r>
      <w:proofErr w:type="spellStart"/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</w:rPr>
        <w:t>Celsentri</w:t>
      </w:r>
      <w:proofErr w:type="spellEnd"/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300mg;</w:t>
      </w:r>
      <w:r w:rsidRPr="008141F1">
        <w:rPr>
          <w:rFonts w:ascii="Calibri" w:hAnsi="Calibri" w:cs="Calibri"/>
          <w:b/>
          <w:bCs/>
          <w:szCs w:val="28"/>
          <w:u w:val="single"/>
        </w:rPr>
        <w:t xml:space="preserve"> </w:t>
      </w:r>
    </w:p>
    <w:p w:rsidR="00EE3F64" w:rsidRDefault="00EF09EC" w:rsidP="00EE3F64">
      <w:pPr>
        <w:spacing w:line="360" w:lineRule="auto"/>
        <w:rPr>
          <w:rFonts w:cs="David Transparent"/>
          <w:color w:val="FF0000"/>
          <w:szCs w:val="28"/>
          <w:rtl/>
        </w:rPr>
      </w:pP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שם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בעל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הרישום</w:t>
      </w:r>
      <w:r w:rsidR="00DA1744"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="00E04CAE" w:rsidRPr="00E04CAE">
        <w:rPr>
          <w:rFonts w:ascii="Calibri" w:hAnsi="Calibri" w:cs="Calibri"/>
          <w:b/>
          <w:bCs/>
          <w:sz w:val="28"/>
          <w:szCs w:val="28"/>
          <w:u w:val="single"/>
        </w:rPr>
        <w:t xml:space="preserve">GlaxoSmithKline (ISRAEL) Ltd  </w:t>
      </w:r>
      <w:r w:rsidR="00E04CAE" w:rsidRPr="00E04CAE">
        <w:rPr>
          <w:rFonts w:ascii="Calibri" w:hAnsi="Calibri" w:cs="Calibri"/>
          <w:b/>
          <w:bCs/>
          <w:sz w:val="26"/>
          <w:szCs w:val="26"/>
        </w:rPr>
        <w:t xml:space="preserve"> : </w:t>
      </w:r>
    </w:p>
    <w:p w:rsidR="00F03688" w:rsidRPr="003768C5" w:rsidRDefault="00C02735" w:rsidP="003768C5">
      <w:pPr>
        <w:spacing w:line="360" w:lineRule="auto"/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A9463E" w:rsidRPr="00F03688" w:rsidRDefault="00E04CAE" w:rsidP="00F03688">
      <w:pPr>
        <w:rPr>
          <w:rFonts w:cs="David Transparent"/>
          <w:emboss/>
          <w:color w:val="C0C0C0"/>
          <w:shd w:val="clear" w:color="auto" w:fill="000000"/>
          <w:rtl/>
        </w:rPr>
      </w:pPr>
      <w:r>
        <w:rPr>
          <w:rFonts w:cs="David Transparent" w:hint="cs"/>
          <w:emboss/>
          <w:color w:val="C0C0C0"/>
          <w:shd w:val="clear" w:color="auto" w:fill="000000"/>
          <w:rtl/>
        </w:rPr>
        <w:t>בעלון לרופא</w:t>
      </w:r>
    </w:p>
    <w:tbl>
      <w:tblPr>
        <w:bidiVisual/>
        <w:tblW w:w="944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2"/>
        <w:gridCol w:w="3402"/>
        <w:gridCol w:w="3828"/>
      </w:tblGrid>
      <w:tr w:rsidR="00A9463E" w:rsidRPr="00A875C0" w:rsidTr="003D1762">
        <w:trPr>
          <w:cantSplit/>
        </w:trPr>
        <w:tc>
          <w:tcPr>
            <w:tcW w:w="944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9463E" w:rsidRPr="00A0668F" w:rsidRDefault="00A9463E" w:rsidP="00A801D5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A9463E" w:rsidRPr="00A0668F" w:rsidRDefault="00A875C0" w:rsidP="00A801D5">
            <w:pPr>
              <w:jc w:val="center"/>
              <w:rPr>
                <w:rFonts w:cs="David Transparent"/>
                <w:b/>
                <w:bCs/>
                <w:rtl/>
              </w:rPr>
            </w:pPr>
            <w:r w:rsidRPr="00A0668F">
              <w:rPr>
                <w:rFonts w:cs="David Transparent" w:hint="cs"/>
                <w:b/>
                <w:bCs/>
                <w:rtl/>
              </w:rPr>
              <w:t>ההחמרות המבוקשות</w:t>
            </w:r>
          </w:p>
        </w:tc>
      </w:tr>
      <w:tr w:rsidR="00A9463E" w:rsidRPr="00A875C0" w:rsidTr="003D1762">
        <w:tc>
          <w:tcPr>
            <w:tcW w:w="2212" w:type="dxa"/>
            <w:tcBorders>
              <w:top w:val="nil"/>
            </w:tcBorders>
          </w:tcPr>
          <w:p w:rsidR="00A9463E" w:rsidRPr="00A0668F" w:rsidRDefault="00A9463E" w:rsidP="00A801D5">
            <w:pPr>
              <w:jc w:val="center"/>
              <w:rPr>
                <w:rFonts w:ascii="Calibri" w:hAnsi="Calibri" w:cs="David Transparent"/>
                <w:b/>
                <w:bCs/>
                <w:rtl/>
              </w:rPr>
            </w:pPr>
          </w:p>
          <w:p w:rsidR="00A9463E" w:rsidRPr="00A0668F" w:rsidRDefault="00A9463E" w:rsidP="00A801D5">
            <w:pPr>
              <w:jc w:val="center"/>
              <w:rPr>
                <w:rFonts w:ascii="Calibri" w:hAnsi="Calibri" w:cs="David Transparent"/>
                <w:b/>
                <w:bCs/>
                <w:rtl/>
              </w:rPr>
            </w:pPr>
            <w:r w:rsidRPr="00A0668F">
              <w:rPr>
                <w:rFonts w:ascii="Calibri" w:hAnsi="Calibri" w:cs="David Transparent"/>
                <w:b/>
                <w:bCs/>
                <w:rtl/>
              </w:rPr>
              <w:t>פרק בעלון</w:t>
            </w:r>
          </w:p>
          <w:p w:rsidR="00A9463E" w:rsidRPr="00A0668F" w:rsidRDefault="00A9463E" w:rsidP="00A801D5">
            <w:pPr>
              <w:jc w:val="center"/>
              <w:rPr>
                <w:rFonts w:ascii="Calibri" w:hAnsi="Calibri" w:cs="David Transparent"/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9463E" w:rsidRPr="00A0668F" w:rsidRDefault="00A9463E" w:rsidP="00A801D5">
            <w:pPr>
              <w:jc w:val="center"/>
              <w:rPr>
                <w:rFonts w:ascii="Calibri" w:hAnsi="Calibri" w:cs="David Transparent"/>
                <w:b/>
                <w:bCs/>
                <w:rtl/>
              </w:rPr>
            </w:pPr>
          </w:p>
          <w:p w:rsidR="00A9463E" w:rsidRPr="00A0668F" w:rsidRDefault="00A9463E" w:rsidP="00A801D5">
            <w:pPr>
              <w:jc w:val="center"/>
              <w:rPr>
                <w:rFonts w:ascii="Calibri" w:hAnsi="Calibri" w:cs="David Transparent"/>
                <w:b/>
                <w:bCs/>
                <w:rtl/>
              </w:rPr>
            </w:pPr>
            <w:r w:rsidRPr="00A0668F">
              <w:rPr>
                <w:rFonts w:ascii="Calibri" w:hAnsi="Calibri" w:cs="David Transparent"/>
                <w:b/>
                <w:bCs/>
                <w:rtl/>
              </w:rPr>
              <w:t>טקסט נוכחי</w:t>
            </w:r>
          </w:p>
        </w:tc>
        <w:tc>
          <w:tcPr>
            <w:tcW w:w="3828" w:type="dxa"/>
            <w:tcBorders>
              <w:top w:val="nil"/>
              <w:right w:val="single" w:sz="4" w:space="0" w:color="auto"/>
            </w:tcBorders>
          </w:tcPr>
          <w:p w:rsidR="00A9463E" w:rsidRPr="00A0668F" w:rsidRDefault="00A9463E" w:rsidP="00A801D5">
            <w:pPr>
              <w:jc w:val="center"/>
              <w:rPr>
                <w:rFonts w:ascii="Calibri" w:hAnsi="Calibri" w:cs="David Transparent"/>
                <w:b/>
                <w:bCs/>
                <w:rtl/>
              </w:rPr>
            </w:pPr>
          </w:p>
          <w:p w:rsidR="00A9463E" w:rsidRPr="00A0668F" w:rsidRDefault="00A9463E" w:rsidP="00A801D5">
            <w:pPr>
              <w:jc w:val="center"/>
              <w:rPr>
                <w:rFonts w:ascii="Calibri" w:hAnsi="Calibri" w:cs="David Transparent"/>
                <w:b/>
                <w:bCs/>
                <w:rtl/>
              </w:rPr>
            </w:pPr>
            <w:r w:rsidRPr="00A0668F">
              <w:rPr>
                <w:rFonts w:ascii="Calibri" w:hAnsi="Calibri" w:cs="David Transparent"/>
                <w:b/>
                <w:bCs/>
                <w:rtl/>
              </w:rPr>
              <w:t>טקסט חדש</w:t>
            </w:r>
          </w:p>
        </w:tc>
      </w:tr>
      <w:tr w:rsidR="00912730" w:rsidRPr="00A875C0" w:rsidTr="00CF1AD4">
        <w:trPr>
          <w:trHeight w:val="1879"/>
        </w:trPr>
        <w:tc>
          <w:tcPr>
            <w:tcW w:w="2212" w:type="dxa"/>
          </w:tcPr>
          <w:p w:rsidR="00912730" w:rsidRPr="00213FA4" w:rsidRDefault="00912730" w:rsidP="00912730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3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WARNINGS </w:t>
            </w:r>
            <w:smartTag w:uri="urn:schemas-microsoft-com:office:smarttags" w:element="stockticker">
              <w:r w:rsidRPr="00213FA4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AND</w:t>
              </w:r>
            </w:smartTag>
            <w:r w:rsidRPr="00213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PRECAUTIONS</w:t>
            </w:r>
          </w:p>
          <w:p w:rsidR="00912730" w:rsidRPr="00213FA4" w:rsidRDefault="00912730" w:rsidP="00F03688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13FA4" w:rsidRPr="00DC7CFD" w:rsidRDefault="00213FA4" w:rsidP="00DC7CFD">
            <w:pPr>
              <w:pStyle w:val="LBLLevel2"/>
              <w:outlineLvl w:val="0"/>
              <w:rPr>
                <w:sz w:val="20"/>
                <w:szCs w:val="20"/>
              </w:rPr>
            </w:pPr>
            <w:r w:rsidRPr="00DC7CFD">
              <w:rPr>
                <w:rFonts w:cs="Arial"/>
                <w:color w:val="000000"/>
                <w:sz w:val="20"/>
              </w:rPr>
              <w:t>5.2 Cardiovascular Events</w:t>
            </w:r>
          </w:p>
          <w:p w:rsidR="00DC7CFD" w:rsidRPr="00DC7CFD" w:rsidRDefault="00DC7CFD" w:rsidP="00DC7CFD">
            <w:pPr>
              <w:jc w:val="right"/>
              <w:rPr>
                <w:rFonts w:ascii="Arial" w:hAnsi="Arial" w:cs="Arial"/>
                <w:color w:val="000000"/>
                <w:sz w:val="20"/>
                <w:rtl/>
              </w:rPr>
            </w:pPr>
            <w:r w:rsidRPr="00DC7CFD">
              <w:rPr>
                <w:rFonts w:ascii="Arial" w:hAnsi="Arial" w:cs="Arial" w:hint="cs"/>
                <w:color w:val="000000"/>
                <w:sz w:val="20"/>
                <w:rtl/>
              </w:rPr>
              <w:t>...</w:t>
            </w:r>
          </w:p>
          <w:p w:rsidR="00213FA4" w:rsidRDefault="00213FA4" w:rsidP="00DC7CFD">
            <w:pPr>
              <w:jc w:val="right"/>
              <w:rPr>
                <w:sz w:val="20"/>
                <w:szCs w:val="20"/>
              </w:rPr>
            </w:pPr>
            <w:r w:rsidRPr="00DC7CFD">
              <w:rPr>
                <w:sz w:val="20"/>
                <w:szCs w:val="20"/>
              </w:rPr>
              <w:t>When CELSENTRI was administered to healthy volunteers at doses higher than the recommended dose, symptomatic postural hypotension was seen at a greater frequency than in placebo.  However, when CELSENTRI was given at the recommended dose in HIV subjects in Phase 3 studies, postural hypotension was seen at a rate similar to placebo (approximately 0.5%).  Caution should be used when administering CELSENTRI in patients with a history of postural hypotension or on concomitant medication known to lower blood pressure.</w:t>
            </w:r>
          </w:p>
          <w:p w:rsidR="00626415" w:rsidRDefault="00626415" w:rsidP="00626415">
            <w:pPr>
              <w:autoSpaceDE w:val="0"/>
              <w:autoSpaceDN w:val="0"/>
              <w:bidi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26415" w:rsidRDefault="00626415" w:rsidP="00626415">
            <w:pPr>
              <w:autoSpaceDE w:val="0"/>
              <w:autoSpaceDN w:val="0"/>
              <w:bidi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246C8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ostural Hypotension in Patients</w:t>
            </w:r>
          </w:p>
          <w:p w:rsidR="00626415" w:rsidRPr="001246C8" w:rsidRDefault="00626415" w:rsidP="00626415">
            <w:pPr>
              <w:autoSpaceDE w:val="0"/>
              <w:autoSpaceDN w:val="0"/>
              <w:bidi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46C8">
              <w:rPr>
                <w:rFonts w:ascii="Arial" w:hAnsi="Arial" w:cs="Arial"/>
                <w:b/>
                <w:bCs/>
                <w:sz w:val="20"/>
              </w:rPr>
              <w:t>with Renal Impairment</w:t>
            </w:r>
          </w:p>
          <w:p w:rsidR="00912730" w:rsidRPr="00626415" w:rsidRDefault="00626415" w:rsidP="0062641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626415">
              <w:rPr>
                <w:rFonts w:asciiTheme="majorBidi" w:hAnsiTheme="majorBidi" w:cstheme="majorBidi"/>
                <w:sz w:val="20"/>
              </w:rPr>
              <w:t>Patients with impaired renal function may have cardiovascular co-morbidities and could be at increased risk of cardiovascular adverse events triggered by postural hypotension.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7CFD" w:rsidRPr="00DC7CFD" w:rsidRDefault="00626415" w:rsidP="00DC7CFD">
            <w:pPr>
              <w:pStyle w:val="LBLLevel2"/>
              <w:outlineLvl w:val="0"/>
              <w:rPr>
                <w:sz w:val="20"/>
                <w:szCs w:val="20"/>
              </w:rPr>
            </w:pPr>
            <w:bookmarkStart w:id="0" w:name="_Toc366146129"/>
            <w:bookmarkStart w:id="1" w:name="_Toc383613084"/>
            <w:bookmarkStart w:id="2" w:name="_Toc309108087"/>
            <w:r>
              <w:rPr>
                <w:sz w:val="20"/>
                <w:szCs w:val="20"/>
              </w:rPr>
              <w:t xml:space="preserve">5.3 </w:t>
            </w:r>
            <w:r w:rsidR="00912730" w:rsidRPr="00213FA4">
              <w:rPr>
                <w:sz w:val="20"/>
                <w:szCs w:val="20"/>
              </w:rPr>
              <w:t>Cardiovascular Events</w:t>
            </w:r>
            <w:bookmarkEnd w:id="0"/>
            <w:bookmarkEnd w:id="1"/>
            <w:bookmarkEnd w:id="2"/>
          </w:p>
          <w:p w:rsidR="00DC7CFD" w:rsidRDefault="00912730" w:rsidP="00912730">
            <w:pPr>
              <w:jc w:val="right"/>
              <w:rPr>
                <w:sz w:val="20"/>
                <w:szCs w:val="20"/>
              </w:rPr>
            </w:pPr>
            <w:r w:rsidRPr="00213FA4">
              <w:rPr>
                <w:sz w:val="20"/>
                <w:szCs w:val="20"/>
              </w:rPr>
              <w:t xml:space="preserve">… </w:t>
            </w:r>
          </w:p>
          <w:p w:rsidR="00912730" w:rsidRPr="00213FA4" w:rsidRDefault="00912730" w:rsidP="00912730">
            <w:pPr>
              <w:jc w:val="right"/>
              <w:rPr>
                <w:sz w:val="20"/>
                <w:szCs w:val="20"/>
              </w:rPr>
            </w:pPr>
            <w:r w:rsidRPr="00213FA4">
              <w:rPr>
                <w:sz w:val="20"/>
                <w:szCs w:val="20"/>
              </w:rPr>
              <w:t xml:space="preserve">When CELSENTRI was administered to healthy volunteers at doses higher than the recommended dose, symptomatic postural hypotension was seen at a greater frequency than in placebo. However, when CELSENTRI was given at the recommended dose in HIV-1-infected subjects in Phase 3 trials, postural hypotension was seen at a rate similar to placebo (approximately 0.5%). Caution should be used when administering CELSENTRI in patients with </w:t>
            </w:r>
            <w:r w:rsidRPr="00213FA4">
              <w:rPr>
                <w:sz w:val="20"/>
                <w:szCs w:val="20"/>
                <w:highlight w:val="yellow"/>
              </w:rPr>
              <w:t xml:space="preserve">a history of or risk factors for postural hypotension, cardiovascular </w:t>
            </w:r>
            <w:proofErr w:type="spellStart"/>
            <w:r w:rsidRPr="00213FA4">
              <w:rPr>
                <w:sz w:val="20"/>
                <w:szCs w:val="20"/>
                <w:highlight w:val="yellow"/>
              </w:rPr>
              <w:t>comorbidities</w:t>
            </w:r>
            <w:proofErr w:type="spellEnd"/>
            <w:r w:rsidRPr="00213FA4">
              <w:rPr>
                <w:sz w:val="20"/>
                <w:szCs w:val="20"/>
                <w:highlight w:val="yellow"/>
              </w:rPr>
              <w:t xml:space="preserve">, or on concomitant medication known to lower blood pressure. Patients with cardiovascular </w:t>
            </w:r>
            <w:proofErr w:type="spellStart"/>
            <w:r w:rsidRPr="00213FA4">
              <w:rPr>
                <w:sz w:val="20"/>
                <w:szCs w:val="20"/>
                <w:highlight w:val="yellow"/>
              </w:rPr>
              <w:t>comorbidities</w:t>
            </w:r>
            <w:proofErr w:type="spellEnd"/>
            <w:r w:rsidRPr="00213FA4">
              <w:rPr>
                <w:sz w:val="20"/>
                <w:szCs w:val="20"/>
                <w:highlight w:val="yellow"/>
              </w:rPr>
              <w:t xml:space="preserve"> could be at increased risk of cardiovascular adverse events triggered by postural hypotension. </w:t>
            </w:r>
          </w:p>
          <w:p w:rsidR="00912730" w:rsidRPr="00213FA4" w:rsidRDefault="00912730" w:rsidP="006A02D1">
            <w:pPr>
              <w:pStyle w:val="LBLLevel2"/>
              <w:spacing w:line="240" w:lineRule="auto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74D8" w:rsidRPr="00A875C0" w:rsidTr="00137182">
        <w:trPr>
          <w:trHeight w:val="558"/>
        </w:trPr>
        <w:tc>
          <w:tcPr>
            <w:tcW w:w="2212" w:type="dxa"/>
          </w:tcPr>
          <w:p w:rsidR="003474D8" w:rsidRPr="00213FA4" w:rsidRDefault="003D6F11" w:rsidP="00F03688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3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ADVERSE REACTIONS</w:t>
            </w:r>
          </w:p>
        </w:tc>
        <w:tc>
          <w:tcPr>
            <w:tcW w:w="3402" w:type="dxa"/>
          </w:tcPr>
          <w:p w:rsidR="003474D8" w:rsidRPr="00213FA4" w:rsidRDefault="003D6F11" w:rsidP="003D6F11">
            <w:pPr>
              <w:pStyle w:val="Heading2"/>
              <w:bidi w:val="0"/>
              <w:spacing w:before="0"/>
              <w:jc w:val="center"/>
              <w:rPr>
                <w:rFonts w:asciiTheme="majorBidi" w:hAnsiTheme="majorBidi"/>
                <w:iCs/>
                <w:color w:val="auto"/>
                <w:sz w:val="20"/>
                <w:szCs w:val="20"/>
              </w:rPr>
            </w:pPr>
            <w:r w:rsidRPr="00213FA4">
              <w:rPr>
                <w:rFonts w:asciiTheme="majorBidi" w:hAnsiTheme="majorBidi"/>
                <w:iCs/>
                <w:color w:val="auto"/>
                <w:sz w:val="20"/>
                <w:szCs w:val="20"/>
              </w:rPr>
              <w:t>---</w:t>
            </w:r>
            <w:r w:rsidR="00CF1AD4" w:rsidRPr="00213FA4">
              <w:rPr>
                <w:rFonts w:asciiTheme="majorBidi" w:hAnsiTheme="majorBidi"/>
                <w:iCs/>
                <w:color w:val="auto"/>
                <w:sz w:val="20"/>
                <w:szCs w:val="20"/>
              </w:rPr>
              <w:t>---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D6F11" w:rsidRPr="00213FA4" w:rsidRDefault="003D6F11" w:rsidP="00BD4235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  <w:u w:val="single"/>
              </w:rPr>
              <w:t>Additional adverse reactions</w:t>
            </w:r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  <w:t>:</w:t>
            </w:r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  <w:rtl/>
              </w:rPr>
              <w:t xml:space="preserve"> </w:t>
            </w:r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  <w:t xml:space="preserve">common: Abdominal pain, </w:t>
            </w:r>
            <w:proofErr w:type="spellStart"/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  <w:t>anaemia</w:t>
            </w:r>
            <w:proofErr w:type="spellEnd"/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  <w:t>, headache</w:t>
            </w:r>
            <w:r w:rsidR="00BD4235"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  <w:t xml:space="preserve"> and</w:t>
            </w:r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  <w:t xml:space="preserve"> asthenia</w:t>
            </w:r>
            <w:r w:rsidRPr="00213F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3474D8" w:rsidRPr="00213FA4" w:rsidRDefault="003474D8" w:rsidP="006A02D1">
            <w:pPr>
              <w:pStyle w:val="LBLLevel2"/>
              <w:spacing w:line="240" w:lineRule="auto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32FD" w:rsidRPr="00A875C0" w:rsidTr="00137182">
        <w:trPr>
          <w:trHeight w:val="558"/>
        </w:trPr>
        <w:tc>
          <w:tcPr>
            <w:tcW w:w="2212" w:type="dxa"/>
          </w:tcPr>
          <w:p w:rsidR="002F32FD" w:rsidRPr="00213FA4" w:rsidRDefault="002F32FD" w:rsidP="002F32FD">
            <w:pPr>
              <w:bidi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3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USE IN SPECIFIC POPULATION</w:t>
            </w:r>
          </w:p>
        </w:tc>
        <w:tc>
          <w:tcPr>
            <w:tcW w:w="3402" w:type="dxa"/>
          </w:tcPr>
          <w:p w:rsidR="002F32FD" w:rsidRPr="00213FA4" w:rsidRDefault="002F32FD" w:rsidP="002F32FD">
            <w:pPr>
              <w:pStyle w:val="Heading2"/>
              <w:bidi w:val="0"/>
              <w:spacing w:before="0"/>
              <w:rPr>
                <w:rFonts w:asciiTheme="majorBidi" w:hAnsiTheme="majorBidi"/>
                <w:iCs/>
                <w:color w:val="auto"/>
                <w:sz w:val="20"/>
                <w:szCs w:val="20"/>
              </w:rPr>
            </w:pPr>
            <w:r w:rsidRPr="00213FA4">
              <w:rPr>
                <w:rFonts w:asciiTheme="majorBidi" w:hAnsiTheme="majorBidi"/>
                <w:iCs/>
                <w:color w:val="auto"/>
                <w:sz w:val="20"/>
                <w:szCs w:val="20"/>
              </w:rPr>
              <w:t xml:space="preserve">Pediatric Use </w:t>
            </w:r>
          </w:p>
          <w:p w:rsidR="002F32FD" w:rsidRPr="00213FA4" w:rsidRDefault="002F32FD" w:rsidP="002F32FD">
            <w:pPr>
              <w:pStyle w:val="Heading2"/>
              <w:bidi w:val="0"/>
              <w:spacing w:before="0"/>
              <w:rPr>
                <w:rFonts w:asciiTheme="majorBidi" w:hAnsiTheme="majorBid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213FA4">
              <w:rPr>
                <w:rFonts w:asciiTheme="majorBidi" w:hAnsiTheme="majorBidi"/>
                <w:b w:val="0"/>
                <w:bCs w:val="0"/>
                <w:iCs/>
                <w:color w:val="auto"/>
                <w:sz w:val="20"/>
                <w:szCs w:val="20"/>
              </w:rPr>
              <w:t xml:space="preserve">The pharmacokinetics, safety and efficacy of </w:t>
            </w:r>
            <w:proofErr w:type="spellStart"/>
            <w:r w:rsidRPr="00213FA4">
              <w:rPr>
                <w:rFonts w:asciiTheme="majorBidi" w:hAnsiTheme="majorBidi"/>
                <w:b w:val="0"/>
                <w:bCs w:val="0"/>
                <w:iCs/>
                <w:color w:val="auto"/>
                <w:sz w:val="20"/>
                <w:szCs w:val="20"/>
              </w:rPr>
              <w:t>maraviroc</w:t>
            </w:r>
            <w:proofErr w:type="spellEnd"/>
            <w:r w:rsidRPr="00213FA4">
              <w:rPr>
                <w:rFonts w:asciiTheme="majorBidi" w:hAnsiTheme="majorBidi"/>
                <w:b w:val="0"/>
                <w:bCs w:val="0"/>
                <w:iCs/>
                <w:color w:val="auto"/>
                <w:sz w:val="20"/>
                <w:szCs w:val="20"/>
              </w:rPr>
              <w:t xml:space="preserve"> in patients &lt;16 years of age have not been established. Therefore, </w:t>
            </w:r>
            <w:proofErr w:type="spellStart"/>
            <w:r w:rsidRPr="00213FA4">
              <w:rPr>
                <w:rFonts w:asciiTheme="majorBidi" w:hAnsiTheme="majorBidi"/>
                <w:b w:val="0"/>
                <w:bCs w:val="0"/>
                <w:iCs/>
                <w:color w:val="auto"/>
                <w:sz w:val="20"/>
                <w:szCs w:val="20"/>
              </w:rPr>
              <w:t>maraviroc</w:t>
            </w:r>
            <w:proofErr w:type="spellEnd"/>
            <w:r w:rsidRPr="00213FA4">
              <w:rPr>
                <w:rFonts w:asciiTheme="majorBidi" w:hAnsiTheme="majorBidi"/>
                <w:b w:val="0"/>
                <w:bCs w:val="0"/>
                <w:iCs/>
                <w:color w:val="auto"/>
                <w:sz w:val="20"/>
                <w:szCs w:val="20"/>
              </w:rPr>
              <w:t xml:space="preserve"> should not be used in this patient population.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32FD" w:rsidRPr="00213FA4" w:rsidRDefault="002F32FD" w:rsidP="002F32FD">
            <w:pPr>
              <w:pStyle w:val="LBLLevel2"/>
              <w:spacing w:line="240" w:lineRule="auto"/>
              <w:outlineLvl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13FA4">
              <w:rPr>
                <w:rFonts w:asciiTheme="majorBidi" w:hAnsiTheme="majorBidi" w:cstheme="majorBidi"/>
                <w:sz w:val="20"/>
                <w:szCs w:val="20"/>
              </w:rPr>
              <w:t>Pediatric Use</w:t>
            </w:r>
          </w:p>
          <w:p w:rsidR="002F32FD" w:rsidRPr="00213FA4" w:rsidRDefault="002F32FD" w:rsidP="002F32FD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13FA4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13FA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The pharmacokinetics, safety and efficacy of </w:t>
            </w:r>
            <w:proofErr w:type="spellStart"/>
            <w:r w:rsidRPr="00213FA4">
              <w:rPr>
                <w:rFonts w:asciiTheme="majorBidi" w:hAnsiTheme="majorBidi" w:cstheme="majorBidi"/>
                <w:iCs/>
                <w:sz w:val="20"/>
                <w:szCs w:val="20"/>
              </w:rPr>
              <w:t>maraviroc</w:t>
            </w:r>
            <w:proofErr w:type="spellEnd"/>
            <w:r w:rsidRPr="00213FA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in patients younger than </w:t>
            </w:r>
            <w:r w:rsidRPr="00213FA4">
              <w:rPr>
                <w:rFonts w:asciiTheme="majorBidi" w:hAnsiTheme="majorBidi" w:cstheme="majorBidi"/>
                <w:iCs/>
                <w:sz w:val="20"/>
                <w:szCs w:val="20"/>
                <w:highlight w:val="yellow"/>
              </w:rPr>
              <w:t>18</w:t>
            </w:r>
            <w:r w:rsidRPr="00213FA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 years have not been established. Therefore, </w:t>
            </w:r>
            <w:proofErr w:type="spellStart"/>
            <w:r w:rsidRPr="00213FA4">
              <w:rPr>
                <w:rFonts w:asciiTheme="majorBidi" w:hAnsiTheme="majorBidi" w:cstheme="majorBidi"/>
                <w:iCs/>
                <w:sz w:val="20"/>
                <w:szCs w:val="20"/>
              </w:rPr>
              <w:t>maraviroc</w:t>
            </w:r>
            <w:proofErr w:type="spellEnd"/>
            <w:r w:rsidRPr="00213FA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should not be used in this patient population.</w:t>
            </w:r>
          </w:p>
          <w:p w:rsidR="002F32FD" w:rsidRPr="00213FA4" w:rsidRDefault="002F32FD" w:rsidP="002F32FD">
            <w:pPr>
              <w:tabs>
                <w:tab w:val="left" w:pos="567"/>
              </w:tabs>
              <w:bidi w:val="0"/>
              <w:rPr>
                <w:rFonts w:asciiTheme="majorBidi" w:hAnsiTheme="majorBidi" w:cstheme="majorBidi"/>
                <w:noProof/>
                <w:sz w:val="20"/>
                <w:szCs w:val="20"/>
                <w:highlight w:val="yellow"/>
              </w:rPr>
            </w:pPr>
          </w:p>
        </w:tc>
      </w:tr>
    </w:tbl>
    <w:p w:rsidR="00F82F1A" w:rsidRDefault="00F82F1A" w:rsidP="00F82F1A">
      <w:pPr>
        <w:ind w:left="-143" w:right="-142"/>
        <w:rPr>
          <w:b/>
          <w:bCs/>
          <w:sz w:val="22"/>
          <w:szCs w:val="22"/>
          <w:rtl/>
        </w:rPr>
      </w:pPr>
    </w:p>
    <w:p w:rsidR="00557EA2" w:rsidRDefault="00557EA2" w:rsidP="0082571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557EA2" w:rsidRDefault="00557EA2" w:rsidP="0082571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825712" w:rsidRPr="003C4032" w:rsidRDefault="00825712" w:rsidP="0082571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825712" w:rsidRPr="003C4032" w:rsidRDefault="00825712" w:rsidP="00825712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825712" w:rsidRPr="003C4032" w:rsidRDefault="003D2016" w:rsidP="0082571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35pt;margin-top:4.75pt;width:440.8pt;height:0;flip:x;z-index:251660288" o:connectortype="straight">
            <w10:wrap anchorx="page"/>
          </v:shape>
        </w:pict>
      </w:r>
    </w:p>
    <w:p w:rsidR="00F51E83" w:rsidRDefault="00F51E83" w:rsidP="00A5374A">
      <w:pPr>
        <w:pStyle w:val="Heading1"/>
        <w:pageBreakBefore/>
        <w:ind w:left="-284" w:right="-142" w:firstLine="284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lastRenderedPageBreak/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בטיחות)  בעלון לצרכן </w:t>
      </w:r>
    </w:p>
    <w:p w:rsidR="00F51E83" w:rsidRDefault="00F51E83" w:rsidP="00F51E83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F51E83" w:rsidRDefault="00F51E83" w:rsidP="00F51E83">
      <w:pPr>
        <w:rPr>
          <w:b/>
          <w:bCs/>
          <w:rtl/>
        </w:rPr>
      </w:pPr>
    </w:p>
    <w:p w:rsidR="00F51E83" w:rsidRPr="001A2797" w:rsidRDefault="00A0668F" w:rsidP="00DE557A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A2797">
        <w:rPr>
          <w:rFonts w:asciiTheme="minorBidi" w:hAnsiTheme="minorBidi" w:cstheme="minorBidi"/>
          <w:b/>
          <w:bCs/>
          <w:sz w:val="28"/>
          <w:szCs w:val="28"/>
          <w:rtl/>
        </w:rPr>
        <w:t>תאריך:</w:t>
      </w:r>
      <w:r w:rsidR="00DE557A">
        <w:rPr>
          <w:rFonts w:asciiTheme="minorBidi" w:hAnsiTheme="minorBidi" w:cstheme="minorBidi"/>
          <w:b/>
          <w:bCs/>
          <w:sz w:val="28"/>
          <w:szCs w:val="28"/>
          <w:u w:val="single"/>
        </w:rPr>
        <w:t>10</w:t>
      </w:r>
      <w:r w:rsidR="006A02D1" w:rsidRPr="001A2797">
        <w:rPr>
          <w:rFonts w:asciiTheme="minorBidi" w:hAnsiTheme="minorBidi" w:cstheme="minorBidi"/>
          <w:b/>
          <w:bCs/>
          <w:sz w:val="28"/>
          <w:szCs w:val="28"/>
          <w:u w:val="single"/>
        </w:rPr>
        <w:t>.04.2014</w:t>
      </w:r>
      <w:r w:rsidRPr="001A279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1A279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</w:p>
    <w:p w:rsidR="00F51E83" w:rsidRDefault="00F51E83" w:rsidP="00F51E83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שם תכשיר באנגל</w:t>
      </w:r>
      <w:r w:rsidR="003D1762">
        <w:rPr>
          <w:rFonts w:cs="David Transparent" w:hint="cs"/>
          <w:b/>
          <w:bCs/>
          <w:szCs w:val="28"/>
          <w:rtl/>
        </w:rPr>
        <w:t>ית ומספר הרישום:</w:t>
      </w:r>
    </w:p>
    <w:p w:rsidR="00F51E83" w:rsidRPr="00C86603" w:rsidRDefault="00F51E83" w:rsidP="00F51E8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139-62-31671</w:t>
      </w:r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</w:rPr>
        <w:t>;</w:t>
      </w:r>
      <w:r w:rsidRPr="00F51E8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139-61-31670</w:t>
      </w:r>
      <w:r w:rsidRPr="00C8660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86603">
        <w:rPr>
          <w:rFonts w:asciiTheme="minorHAnsi" w:hAnsiTheme="minorHAnsi" w:cstheme="minorHAnsi"/>
          <w:b/>
          <w:bCs/>
          <w:sz w:val="28"/>
          <w:szCs w:val="28"/>
          <w:u w:val="single"/>
        </w:rPr>
        <w:t>Celsentri</w:t>
      </w:r>
      <w:proofErr w:type="spellEnd"/>
      <w:r w:rsidRPr="00C8660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150mg &amp; </w:t>
      </w:r>
      <w:proofErr w:type="spellStart"/>
      <w:r w:rsidRPr="00C86603">
        <w:rPr>
          <w:rFonts w:asciiTheme="minorHAnsi" w:hAnsiTheme="minorHAnsi" w:cstheme="minorHAnsi"/>
          <w:b/>
          <w:bCs/>
          <w:sz w:val="28"/>
          <w:szCs w:val="28"/>
          <w:u w:val="single"/>
        </w:rPr>
        <w:t>Celsentri</w:t>
      </w:r>
      <w:proofErr w:type="spellEnd"/>
      <w:r w:rsidRPr="00C8660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300mg; </w:t>
      </w:r>
    </w:p>
    <w:p w:rsidR="00F51E83" w:rsidRPr="008A137F" w:rsidRDefault="00F51E83" w:rsidP="00F51E83">
      <w:pPr>
        <w:spacing w:line="36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 w:rsidRPr="00C866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E04CAE">
        <w:rPr>
          <w:rFonts w:ascii="Calibri" w:hAnsi="Calibri" w:cs="Calibri"/>
          <w:b/>
          <w:bCs/>
          <w:sz w:val="28"/>
          <w:szCs w:val="28"/>
          <w:u w:val="single"/>
        </w:rPr>
        <w:t xml:space="preserve">GlaxoSmithKline (ISRAEL) Ltd  </w:t>
      </w:r>
      <w:r w:rsidRPr="00E04CAE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F51E83" w:rsidRDefault="00F51E83" w:rsidP="00F51E83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E41FCD" w:rsidRPr="003768C5" w:rsidRDefault="003768C5" w:rsidP="003768C5">
      <w:pPr>
        <w:rPr>
          <w:rFonts w:cs="David Transparent"/>
          <w:b/>
          <w:bCs/>
          <w:color w:val="A6A6A6" w:themeColor="background1" w:themeShade="A6"/>
          <w:rtl/>
        </w:rPr>
      </w:pPr>
      <w:r w:rsidRPr="003768C5">
        <w:rPr>
          <w:rFonts w:cs="David Transparent" w:hint="cs"/>
          <w:b/>
          <w:bCs/>
          <w:color w:val="A6A6A6" w:themeColor="background1" w:themeShade="A6"/>
          <w:highlight w:val="black"/>
          <w:rtl/>
        </w:rPr>
        <w:t>בעלון לצרכן</w:t>
      </w:r>
    </w:p>
    <w:tbl>
      <w:tblPr>
        <w:tblStyle w:val="TableGrid"/>
        <w:bidiVisual/>
        <w:tblW w:w="9072" w:type="dxa"/>
        <w:tblLayout w:type="fixed"/>
        <w:tblLook w:val="0000"/>
      </w:tblPr>
      <w:tblGrid>
        <w:gridCol w:w="1984"/>
        <w:gridCol w:w="3311"/>
        <w:gridCol w:w="3777"/>
      </w:tblGrid>
      <w:tr w:rsidR="00F51E83" w:rsidTr="00451011">
        <w:tc>
          <w:tcPr>
            <w:tcW w:w="9072" w:type="dxa"/>
            <w:gridSpan w:val="3"/>
          </w:tcPr>
          <w:p w:rsidR="00F51E83" w:rsidRDefault="00F51E83" w:rsidP="00F51E83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F51E83" w:rsidRDefault="00F51E83" w:rsidP="00F51E83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 xml:space="preserve">ההחמרות המבוקשות </w:t>
            </w:r>
          </w:p>
        </w:tc>
      </w:tr>
      <w:tr w:rsidR="00F51E83" w:rsidRPr="006E5AD7" w:rsidTr="000D0ECD">
        <w:trPr>
          <w:trHeight w:val="803"/>
        </w:trPr>
        <w:tc>
          <w:tcPr>
            <w:tcW w:w="1984" w:type="dxa"/>
          </w:tcPr>
          <w:p w:rsidR="00F51E83" w:rsidRPr="00A0668F" w:rsidRDefault="00F51E83" w:rsidP="00F51E83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F51E83" w:rsidRPr="00A0668F" w:rsidRDefault="00F51E83" w:rsidP="00A0668F">
            <w:pPr>
              <w:jc w:val="center"/>
              <w:rPr>
                <w:rFonts w:cs="David Transparent"/>
                <w:b/>
                <w:bCs/>
                <w:rtl/>
              </w:rPr>
            </w:pPr>
            <w:r w:rsidRPr="00A0668F">
              <w:rPr>
                <w:rFonts w:cs="David Transparent"/>
                <w:b/>
                <w:bCs/>
                <w:rtl/>
              </w:rPr>
              <w:t>פרק בעלון</w:t>
            </w:r>
          </w:p>
        </w:tc>
        <w:tc>
          <w:tcPr>
            <w:tcW w:w="3311" w:type="dxa"/>
          </w:tcPr>
          <w:p w:rsidR="00F51E83" w:rsidRPr="00A0668F" w:rsidRDefault="00F51E83" w:rsidP="00F51E83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F51E83" w:rsidRPr="00A0668F" w:rsidRDefault="00F51E83" w:rsidP="00F51E83">
            <w:pPr>
              <w:jc w:val="center"/>
              <w:rPr>
                <w:rFonts w:cs="David Transparent"/>
                <w:b/>
                <w:bCs/>
                <w:rtl/>
              </w:rPr>
            </w:pPr>
            <w:r w:rsidRPr="00A0668F">
              <w:rPr>
                <w:rFonts w:cs="David Transparent"/>
                <w:b/>
                <w:bCs/>
                <w:rtl/>
              </w:rPr>
              <w:t>טקסט נוכחי</w:t>
            </w:r>
          </w:p>
        </w:tc>
        <w:tc>
          <w:tcPr>
            <w:tcW w:w="3777" w:type="dxa"/>
          </w:tcPr>
          <w:p w:rsidR="00F51E83" w:rsidRPr="00A0668F" w:rsidRDefault="00F51E83" w:rsidP="00F51E83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F51E83" w:rsidRPr="00A0668F" w:rsidRDefault="00F51E83" w:rsidP="00F51E83">
            <w:pPr>
              <w:jc w:val="center"/>
              <w:rPr>
                <w:rFonts w:cs="David Transparent"/>
                <w:b/>
                <w:bCs/>
                <w:rtl/>
              </w:rPr>
            </w:pPr>
            <w:r w:rsidRPr="00A0668F">
              <w:rPr>
                <w:rFonts w:cs="David Transparent"/>
                <w:b/>
                <w:bCs/>
                <w:rtl/>
              </w:rPr>
              <w:t>טקסט חדש</w:t>
            </w:r>
          </w:p>
        </w:tc>
      </w:tr>
      <w:tr w:rsidR="00314CA5" w:rsidRPr="006E5AD7" w:rsidTr="000D0ECD">
        <w:trPr>
          <w:trHeight w:val="512"/>
        </w:trPr>
        <w:tc>
          <w:tcPr>
            <w:tcW w:w="1984" w:type="dxa"/>
          </w:tcPr>
          <w:p w:rsidR="001A2797" w:rsidRPr="0021788A" w:rsidRDefault="001A2797" w:rsidP="0021788A">
            <w:pPr>
              <w:rPr>
                <w:rFonts w:cs="David Transparent"/>
                <w:sz w:val="22"/>
                <w:szCs w:val="22"/>
                <w:rtl/>
              </w:rPr>
            </w:pPr>
            <w:r w:rsidRPr="0021788A">
              <w:rPr>
                <w:rFonts w:cs="David Transparent" w:hint="cs"/>
                <w:sz w:val="22"/>
                <w:szCs w:val="22"/>
                <w:rtl/>
              </w:rPr>
              <w:t>למה מיועדת התרופה?</w:t>
            </w:r>
          </w:p>
          <w:p w:rsidR="00314CA5" w:rsidRPr="0021788A" w:rsidRDefault="00314CA5" w:rsidP="0021788A">
            <w:pPr>
              <w:rPr>
                <w:rFonts w:cs="David Transparent"/>
                <w:sz w:val="22"/>
                <w:szCs w:val="22"/>
                <w:rtl/>
              </w:rPr>
            </w:pPr>
          </w:p>
        </w:tc>
        <w:tc>
          <w:tcPr>
            <w:tcW w:w="3311" w:type="dxa"/>
          </w:tcPr>
          <w:p w:rsidR="00314CA5" w:rsidRPr="0021788A" w:rsidRDefault="003416E7" w:rsidP="0021788A">
            <w:pPr>
              <w:rPr>
                <w:rFonts w:cs="David Transparent"/>
                <w:sz w:val="22"/>
                <w:szCs w:val="22"/>
                <w:rtl/>
              </w:rPr>
            </w:pPr>
            <w:r w:rsidRPr="0021788A">
              <w:rPr>
                <w:rFonts w:cs="David Transparent"/>
                <w:sz w:val="22"/>
                <w:szCs w:val="22"/>
                <w:rtl/>
              </w:rPr>
              <w:t>מתי אין להשתמש בתכשיר?</w:t>
            </w:r>
          </w:p>
          <w:p w:rsidR="003416E7" w:rsidRPr="0021788A" w:rsidRDefault="000D0ECD" w:rsidP="0021788A">
            <w:pPr>
              <w:rPr>
                <w:rFonts w:cs="David Transparent"/>
                <w:sz w:val="22"/>
                <w:szCs w:val="22"/>
              </w:rPr>
            </w:pPr>
            <w:r w:rsidRPr="0021788A">
              <w:rPr>
                <w:rFonts w:cs="David Transparent" w:hint="cs"/>
                <w:sz w:val="22"/>
                <w:szCs w:val="22"/>
                <w:rtl/>
              </w:rPr>
              <w:t>אין להשתמש בילדים מתחת לגיל 16</w:t>
            </w:r>
          </w:p>
        </w:tc>
        <w:tc>
          <w:tcPr>
            <w:tcW w:w="3777" w:type="dxa"/>
          </w:tcPr>
          <w:p w:rsidR="008B6550" w:rsidRPr="0021788A" w:rsidRDefault="008B6550" w:rsidP="0021788A">
            <w:pPr>
              <w:rPr>
                <w:rFonts w:cs="David Transparent"/>
                <w:sz w:val="22"/>
                <w:szCs w:val="22"/>
                <w:rtl/>
              </w:rPr>
            </w:pPr>
            <w:r w:rsidRPr="00117170">
              <w:rPr>
                <w:rFonts w:cs="David Transparent" w:hint="cs"/>
                <w:sz w:val="22"/>
                <w:szCs w:val="22"/>
                <w:highlight w:val="yellow"/>
                <w:rtl/>
              </w:rPr>
              <w:t>סלסנטרי לא נבדקה בילדים מתחת לגיל 18 שנים</w:t>
            </w:r>
          </w:p>
          <w:p w:rsidR="00314CA5" w:rsidRPr="0021788A" w:rsidRDefault="00314CA5" w:rsidP="0021788A">
            <w:pPr>
              <w:rPr>
                <w:rFonts w:cs="David Transparent"/>
                <w:sz w:val="22"/>
                <w:szCs w:val="22"/>
                <w:rtl/>
              </w:rPr>
            </w:pPr>
          </w:p>
        </w:tc>
      </w:tr>
      <w:tr w:rsidR="00CF1AD4" w:rsidRPr="006E5AD7" w:rsidTr="000D0ECD">
        <w:trPr>
          <w:trHeight w:val="512"/>
        </w:trPr>
        <w:tc>
          <w:tcPr>
            <w:tcW w:w="1984" w:type="dxa"/>
          </w:tcPr>
          <w:p w:rsidR="00CF1AD4" w:rsidRPr="0021788A" w:rsidRDefault="00CF1AD4" w:rsidP="0021788A">
            <w:pPr>
              <w:rPr>
                <w:rFonts w:cs="David Transparent"/>
                <w:sz w:val="22"/>
                <w:szCs w:val="22"/>
                <w:rtl/>
              </w:rPr>
            </w:pPr>
            <w:r>
              <w:rPr>
                <w:rFonts w:cs="David Transparent" w:hint="cs"/>
                <w:sz w:val="22"/>
                <w:szCs w:val="22"/>
                <w:rtl/>
              </w:rPr>
              <w:t>תופעות לוואי</w:t>
            </w:r>
          </w:p>
        </w:tc>
        <w:tc>
          <w:tcPr>
            <w:tcW w:w="3311" w:type="dxa"/>
          </w:tcPr>
          <w:p w:rsidR="007844FC" w:rsidRPr="00DC2B92" w:rsidRDefault="00B61903" w:rsidP="00B61903">
            <w:pPr>
              <w:jc w:val="center"/>
              <w:rPr>
                <w:rFonts w:cs="David Transparent"/>
                <w:sz w:val="22"/>
                <w:szCs w:val="22"/>
                <w:rtl/>
              </w:rPr>
            </w:pPr>
            <w:r w:rsidRPr="00213FA4">
              <w:rPr>
                <w:rFonts w:asciiTheme="majorBidi" w:hAnsiTheme="majorBidi"/>
                <w:iCs/>
                <w:sz w:val="20"/>
                <w:szCs w:val="20"/>
              </w:rPr>
              <w:t>------</w:t>
            </w:r>
          </w:p>
          <w:p w:rsidR="00CF1AD4" w:rsidRPr="00DC2B92" w:rsidRDefault="00CF1AD4" w:rsidP="0021788A">
            <w:pPr>
              <w:rPr>
                <w:rFonts w:cs="David Transparent"/>
                <w:sz w:val="22"/>
                <w:szCs w:val="22"/>
                <w:rtl/>
              </w:rPr>
            </w:pPr>
          </w:p>
        </w:tc>
        <w:tc>
          <w:tcPr>
            <w:tcW w:w="3777" w:type="dxa"/>
          </w:tcPr>
          <w:p w:rsidR="008B4A28" w:rsidRPr="00692DBD" w:rsidRDefault="008B4A28" w:rsidP="00B80761">
            <w:pPr>
              <w:pStyle w:val="14-"/>
              <w:tabs>
                <w:tab w:val="left" w:pos="675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pacing w:line="276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692DBD">
              <w:rPr>
                <w:rFonts w:hAnsi="Times New Roman" w:cs="David Transparent" w:hint="cs"/>
                <w:b/>
                <w:bCs/>
                <w:snapToGrid/>
                <w:sz w:val="22"/>
                <w:szCs w:val="22"/>
                <w:rtl/>
              </w:rPr>
              <w:t>תופעות הלוואי הנפוצות ביותר של סלסנטרי כוללות</w:t>
            </w:r>
            <w:r w:rsidRPr="00692DBD">
              <w:rPr>
                <w:rFonts w:hAnsi="Times New Roman" w:cs="David Transparent" w:hint="cs"/>
                <w:snapToGrid/>
                <w:sz w:val="24"/>
                <w:szCs w:val="24"/>
                <w:rtl/>
              </w:rPr>
              <w:t xml:space="preserve"> </w:t>
            </w:r>
            <w:r w:rsidR="00DC7CFD">
              <w:rPr>
                <w:rFonts w:hAnsi="Times New Roman" w:cs="David Transparent"/>
                <w:snapToGrid/>
                <w:sz w:val="22"/>
                <w:szCs w:val="22"/>
              </w:rPr>
              <w:t>…</w:t>
            </w:r>
            <w:r w:rsidRPr="00692DBD">
              <w:rPr>
                <w:rFonts w:hAnsi="Times New Roman" w:cs="David Transparent" w:hint="cs"/>
                <w:snapToGrid/>
                <w:sz w:val="22"/>
                <w:szCs w:val="22"/>
                <w:rtl/>
              </w:rPr>
              <w:t xml:space="preserve"> </w:t>
            </w:r>
            <w:r w:rsidRPr="00B80761">
              <w:rPr>
                <w:rFonts w:hAnsi="Times New Roman" w:cs="David Transparent" w:hint="cs"/>
                <w:snapToGrid/>
                <w:sz w:val="22"/>
                <w:szCs w:val="22"/>
                <w:highlight w:val="yellow"/>
                <w:rtl/>
              </w:rPr>
              <w:t>כאבי בטן</w:t>
            </w:r>
            <w:r w:rsidR="00B80761" w:rsidRPr="00B80761">
              <w:rPr>
                <w:rFonts w:hAnsi="Times New Roman" w:cs="David Transparent" w:hint="cs"/>
                <w:snapToGrid/>
                <w:sz w:val="22"/>
                <w:szCs w:val="22"/>
                <w:highlight w:val="yellow"/>
                <w:rtl/>
              </w:rPr>
              <w:t>,</w:t>
            </w:r>
            <w:r w:rsidRPr="00B80761">
              <w:rPr>
                <w:rFonts w:hAnsi="Times New Roman" w:cs="David Transparent" w:hint="cs"/>
                <w:snapToGrid/>
                <w:sz w:val="22"/>
                <w:szCs w:val="22"/>
                <w:highlight w:val="yellow"/>
                <w:rtl/>
              </w:rPr>
              <w:t>הפרעות בעיכול המזון, אובדן תיאבון, כאבי ראש</w:t>
            </w:r>
            <w:r w:rsidR="00B80761" w:rsidRPr="00B80761">
              <w:rPr>
                <w:rFonts w:hAnsi="Times New Roman" w:cs="David Transparent" w:hint="cs"/>
                <w:snapToGrid/>
                <w:sz w:val="22"/>
                <w:szCs w:val="22"/>
                <w:highlight w:val="yellow"/>
                <w:rtl/>
              </w:rPr>
              <w:t>,</w:t>
            </w:r>
            <w:r w:rsidRPr="00B80761">
              <w:rPr>
                <w:rFonts w:hAnsi="Times New Roman" w:cs="David Transparent" w:hint="cs"/>
                <w:snapToGrid/>
                <w:sz w:val="22"/>
                <w:szCs w:val="22"/>
                <w:highlight w:val="yellow"/>
                <w:rtl/>
              </w:rPr>
              <w:t>חולשה, אנמיה ועליה באנזימי כב</w:t>
            </w:r>
            <w:r w:rsidRPr="00B80761">
              <w:rPr>
                <w:rFonts w:ascii="Arial" w:hAnsi="Arial" w:cs="David" w:hint="cs"/>
                <w:sz w:val="22"/>
                <w:szCs w:val="22"/>
                <w:highlight w:val="yellow"/>
                <w:rtl/>
              </w:rPr>
              <w:t>ד</w:t>
            </w:r>
            <w:r w:rsidRPr="00692DBD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  <w:p w:rsidR="00CF1AD4" w:rsidRPr="00DC2B92" w:rsidRDefault="00CF1AD4" w:rsidP="0021788A">
            <w:pPr>
              <w:rPr>
                <w:sz w:val="22"/>
                <w:szCs w:val="22"/>
                <w:highlight w:val="yellow"/>
                <w:rtl/>
              </w:rPr>
            </w:pPr>
          </w:p>
        </w:tc>
      </w:tr>
    </w:tbl>
    <w:p w:rsidR="0021788A" w:rsidRDefault="0021788A" w:rsidP="008B5AD8">
      <w:pPr>
        <w:ind w:left="-143" w:right="-142"/>
        <w:rPr>
          <w:b/>
          <w:bCs/>
          <w:sz w:val="22"/>
          <w:szCs w:val="22"/>
          <w:rtl/>
        </w:rPr>
      </w:pPr>
    </w:p>
    <w:p w:rsidR="00825712" w:rsidRPr="003C4032" w:rsidRDefault="00825712" w:rsidP="0082571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825712" w:rsidRPr="003C4032" w:rsidRDefault="00825712" w:rsidP="00825712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825712" w:rsidRPr="003C4032" w:rsidRDefault="003D2016" w:rsidP="0082571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 id="_x0000_s1027" type="#_x0000_t32" style="position:absolute;left:0;text-align:left;margin-left:34.35pt;margin-top:4.75pt;width:440.8pt;height:0;flip:x;z-index:251662336" o:connectortype="straight">
            <w10:wrap anchorx="page"/>
          </v:shape>
        </w:pict>
      </w:r>
    </w:p>
    <w:p w:rsidR="00F51E83" w:rsidRPr="00977CCE" w:rsidRDefault="00F51E83" w:rsidP="00825712">
      <w:pPr>
        <w:ind w:left="-143" w:right="-142"/>
        <w:rPr>
          <w:sz w:val="22"/>
          <w:szCs w:val="22"/>
          <w:u w:val="single"/>
          <w:rtl/>
        </w:rPr>
      </w:pPr>
    </w:p>
    <w:sectPr w:rsidR="00F51E83" w:rsidRPr="00977CCE" w:rsidSect="007F1DF9">
      <w:pgSz w:w="11906" w:h="16838"/>
      <w:pgMar w:top="567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skh Traditional MT">
    <w:altName w:val="Times New Roman"/>
    <w:charset w:val="B3"/>
    <w:family w:val="auto"/>
    <w:pitch w:val="variable"/>
    <w:sig w:usb0="00000001" w:usb1="00000000" w:usb2="00000000" w:usb3="00000000" w:csb0="00000000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A7A"/>
    <w:multiLevelType w:val="hybridMultilevel"/>
    <w:tmpl w:val="A57AA63E"/>
    <w:lvl w:ilvl="0" w:tplc="54B88242">
      <w:numFmt w:val="bullet"/>
      <w:lvlText w:val=""/>
      <w:lvlJc w:val="left"/>
      <w:pPr>
        <w:ind w:left="1132" w:hanging="360"/>
      </w:pPr>
      <w:rPr>
        <w:rFonts w:ascii="Wingdings 2" w:eastAsia="Times New Roman" w:hAnsi="Wingdings 2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>
    <w:nsid w:val="04042EB9"/>
    <w:multiLevelType w:val="hybridMultilevel"/>
    <w:tmpl w:val="51D6FDA0"/>
    <w:lvl w:ilvl="0" w:tplc="3F76F0C8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21CDD"/>
    <w:multiLevelType w:val="hybridMultilevel"/>
    <w:tmpl w:val="9FE235D0"/>
    <w:lvl w:ilvl="0" w:tplc="379A9F10">
      <w:numFmt w:val="bullet"/>
      <w:lvlText w:val=""/>
      <w:lvlJc w:val="left"/>
      <w:pPr>
        <w:ind w:left="1095" w:hanging="375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C451B"/>
    <w:multiLevelType w:val="hybridMultilevel"/>
    <w:tmpl w:val="9A64990A"/>
    <w:lvl w:ilvl="0" w:tplc="9D868624">
      <w:numFmt w:val="bullet"/>
      <w:lvlText w:val=""/>
      <w:lvlJc w:val="left"/>
      <w:pPr>
        <w:ind w:left="1177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>
    <w:nsid w:val="0A355594"/>
    <w:multiLevelType w:val="hybridMultilevel"/>
    <w:tmpl w:val="AFEA4D90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8D2C57"/>
    <w:multiLevelType w:val="hybridMultilevel"/>
    <w:tmpl w:val="6742AD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5DB2"/>
    <w:multiLevelType w:val="hybridMultilevel"/>
    <w:tmpl w:val="77F2D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C86E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4035B0"/>
    <w:multiLevelType w:val="hybridMultilevel"/>
    <w:tmpl w:val="99805460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C61FEA"/>
    <w:multiLevelType w:val="hybridMultilevel"/>
    <w:tmpl w:val="0E9CF366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BF2E2A"/>
    <w:multiLevelType w:val="hybridMultilevel"/>
    <w:tmpl w:val="93FA8822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E7297A"/>
    <w:multiLevelType w:val="hybridMultilevel"/>
    <w:tmpl w:val="E3F82736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3D49BD"/>
    <w:multiLevelType w:val="hybridMultilevel"/>
    <w:tmpl w:val="54B65D06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4D3899"/>
    <w:multiLevelType w:val="hybridMultilevel"/>
    <w:tmpl w:val="2BA0E7A4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40993"/>
    <w:multiLevelType w:val="hybridMultilevel"/>
    <w:tmpl w:val="6742AD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5DB4"/>
    <w:multiLevelType w:val="hybridMultilevel"/>
    <w:tmpl w:val="AF7CA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7A2130"/>
    <w:multiLevelType w:val="hybridMultilevel"/>
    <w:tmpl w:val="D2A6CE90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8F4FAC"/>
    <w:multiLevelType w:val="hybridMultilevel"/>
    <w:tmpl w:val="7766079E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400F76"/>
    <w:multiLevelType w:val="hybridMultilevel"/>
    <w:tmpl w:val="6EBA51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64C8F"/>
    <w:multiLevelType w:val="hybridMultilevel"/>
    <w:tmpl w:val="88BC0FF0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F6FE8"/>
    <w:multiLevelType w:val="hybridMultilevel"/>
    <w:tmpl w:val="EA288D6E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6219F0"/>
    <w:multiLevelType w:val="hybridMultilevel"/>
    <w:tmpl w:val="6148795C"/>
    <w:lvl w:ilvl="0" w:tplc="27D6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F4AE0"/>
    <w:multiLevelType w:val="hybridMultilevel"/>
    <w:tmpl w:val="6B2CE064"/>
    <w:lvl w:ilvl="0" w:tplc="3F76F0C8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4F2637"/>
    <w:multiLevelType w:val="hybridMultilevel"/>
    <w:tmpl w:val="7F4AB232"/>
    <w:lvl w:ilvl="0" w:tplc="0B5C0E14">
      <w:numFmt w:val="bullet"/>
      <w:lvlText w:val=""/>
      <w:lvlJc w:val="left"/>
      <w:pPr>
        <w:ind w:left="1140" w:hanging="42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780DEB"/>
    <w:multiLevelType w:val="hybridMultilevel"/>
    <w:tmpl w:val="6EBA51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84756"/>
    <w:multiLevelType w:val="hybridMultilevel"/>
    <w:tmpl w:val="3B56E590"/>
    <w:lvl w:ilvl="0" w:tplc="6DD05806">
      <w:numFmt w:val="bullet"/>
      <w:lvlText w:val=""/>
      <w:lvlJc w:val="left"/>
      <w:pPr>
        <w:ind w:left="1140" w:hanging="42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EA7E25"/>
    <w:multiLevelType w:val="hybridMultilevel"/>
    <w:tmpl w:val="3D60E6DE"/>
    <w:lvl w:ilvl="0" w:tplc="3F76F0C8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FE7ED3"/>
    <w:multiLevelType w:val="hybridMultilevel"/>
    <w:tmpl w:val="609E22CA"/>
    <w:lvl w:ilvl="0" w:tplc="3F76F0C8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592423"/>
    <w:multiLevelType w:val="hybridMultilevel"/>
    <w:tmpl w:val="2CB6BB46"/>
    <w:lvl w:ilvl="0" w:tplc="48A0A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F76F0C8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2" w:tplc="E4845B0A">
      <w:numFmt w:val="bullet"/>
      <w:lvlText w:val=""/>
      <w:lvlJc w:val="left"/>
      <w:pPr>
        <w:ind w:left="1860" w:hanging="420"/>
      </w:pPr>
      <w:rPr>
        <w:rFonts w:ascii="Wingdings 2" w:eastAsia="Times New Roman" w:hAnsi="Wingdings 2" w:cs="Davi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BE83ECD"/>
    <w:multiLevelType w:val="hybridMultilevel"/>
    <w:tmpl w:val="AD88DDFA"/>
    <w:lvl w:ilvl="0" w:tplc="83EC72C0">
      <w:start w:val="1"/>
      <w:numFmt w:val="bullet"/>
      <w:pStyle w:val="LBLBullet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BAC9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0811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9091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4A9D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5ADB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4AD1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CACF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F765D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AE248F"/>
    <w:multiLevelType w:val="hybridMultilevel"/>
    <w:tmpl w:val="56D2109E"/>
    <w:lvl w:ilvl="0" w:tplc="EB128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4A78DB"/>
    <w:multiLevelType w:val="hybridMultilevel"/>
    <w:tmpl w:val="716E0410"/>
    <w:lvl w:ilvl="0" w:tplc="48A0AD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D658FF"/>
    <w:multiLevelType w:val="hybridMultilevel"/>
    <w:tmpl w:val="4656B044"/>
    <w:lvl w:ilvl="0" w:tplc="95BCD73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C3C1E"/>
    <w:multiLevelType w:val="hybridMultilevel"/>
    <w:tmpl w:val="6EBA51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D5148"/>
    <w:multiLevelType w:val="hybridMultilevel"/>
    <w:tmpl w:val="16DAE838"/>
    <w:lvl w:ilvl="0" w:tplc="3F76F0C8">
      <w:start w:val="1"/>
      <w:numFmt w:val="bullet"/>
      <w:lvlText w:val="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>
    <w:nsid w:val="703733DD"/>
    <w:multiLevelType w:val="hybridMultilevel"/>
    <w:tmpl w:val="D0025B82"/>
    <w:lvl w:ilvl="0" w:tplc="3F76F0C8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4E78F5"/>
    <w:multiLevelType w:val="hybridMultilevel"/>
    <w:tmpl w:val="F64C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73BC"/>
    <w:multiLevelType w:val="hybridMultilevel"/>
    <w:tmpl w:val="6EDEA736"/>
    <w:lvl w:ilvl="0" w:tplc="CCF801C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2C5002"/>
    <w:multiLevelType w:val="hybridMultilevel"/>
    <w:tmpl w:val="9B50F096"/>
    <w:lvl w:ilvl="0" w:tplc="6E52BF4A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41">
    <w:nsid w:val="7C400638"/>
    <w:multiLevelType w:val="hybridMultilevel"/>
    <w:tmpl w:val="F200B2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20"/>
  </w:num>
  <w:num w:numId="9">
    <w:abstractNumId w:val="39"/>
  </w:num>
  <w:num w:numId="10">
    <w:abstractNumId w:val="10"/>
  </w:num>
  <w:num w:numId="11">
    <w:abstractNumId w:val="26"/>
  </w:num>
  <w:num w:numId="12">
    <w:abstractNumId w:val="7"/>
  </w:num>
  <w:num w:numId="13">
    <w:abstractNumId w:val="24"/>
  </w:num>
  <w:num w:numId="14">
    <w:abstractNumId w:val="4"/>
  </w:num>
  <w:num w:numId="15">
    <w:abstractNumId w:val="0"/>
  </w:num>
  <w:num w:numId="16">
    <w:abstractNumId w:val="30"/>
  </w:num>
  <w:num w:numId="17">
    <w:abstractNumId w:val="3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7"/>
  </w:num>
  <w:num w:numId="23">
    <w:abstractNumId w:val="15"/>
  </w:num>
  <w:num w:numId="24">
    <w:abstractNumId w:val="22"/>
  </w:num>
  <w:num w:numId="25">
    <w:abstractNumId w:val="18"/>
  </w:num>
  <w:num w:numId="26">
    <w:abstractNumId w:val="25"/>
  </w:num>
  <w:num w:numId="27">
    <w:abstractNumId w:val="35"/>
  </w:num>
  <w:num w:numId="28">
    <w:abstractNumId w:val="41"/>
  </w:num>
  <w:num w:numId="29">
    <w:abstractNumId w:val="14"/>
  </w:num>
  <w:num w:numId="30">
    <w:abstractNumId w:val="40"/>
  </w:num>
  <w:num w:numId="31">
    <w:abstractNumId w:val="5"/>
  </w:num>
  <w:num w:numId="32">
    <w:abstractNumId w:val="6"/>
  </w:num>
  <w:num w:numId="33">
    <w:abstractNumId w:val="38"/>
  </w:num>
  <w:num w:numId="34">
    <w:abstractNumId w:val="33"/>
  </w:num>
  <w:num w:numId="35">
    <w:abstractNumId w:val="1"/>
  </w:num>
  <w:num w:numId="36">
    <w:abstractNumId w:val="27"/>
  </w:num>
  <w:num w:numId="37">
    <w:abstractNumId w:val="23"/>
  </w:num>
  <w:num w:numId="38">
    <w:abstractNumId w:val="28"/>
  </w:num>
  <w:num w:numId="39">
    <w:abstractNumId w:val="32"/>
  </w:num>
  <w:num w:numId="40">
    <w:abstractNumId w:val="37"/>
  </w:num>
  <w:num w:numId="41">
    <w:abstractNumId w:val="3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1F90"/>
    <w:rsid w:val="00034D12"/>
    <w:rsid w:val="000356F8"/>
    <w:rsid w:val="000D0ECD"/>
    <w:rsid w:val="00112F2C"/>
    <w:rsid w:val="00117170"/>
    <w:rsid w:val="00137182"/>
    <w:rsid w:val="001543B4"/>
    <w:rsid w:val="001658AE"/>
    <w:rsid w:val="00177650"/>
    <w:rsid w:val="001A2797"/>
    <w:rsid w:val="001C5436"/>
    <w:rsid w:val="001F7182"/>
    <w:rsid w:val="0020078E"/>
    <w:rsid w:val="00213FA4"/>
    <w:rsid w:val="0021788A"/>
    <w:rsid w:val="0022143C"/>
    <w:rsid w:val="00236AB9"/>
    <w:rsid w:val="002403C1"/>
    <w:rsid w:val="00246AF0"/>
    <w:rsid w:val="00260355"/>
    <w:rsid w:val="00274A2C"/>
    <w:rsid w:val="0029717F"/>
    <w:rsid w:val="002C3D0A"/>
    <w:rsid w:val="002D4CE4"/>
    <w:rsid w:val="002F32FD"/>
    <w:rsid w:val="002F3ABE"/>
    <w:rsid w:val="00300616"/>
    <w:rsid w:val="0031105D"/>
    <w:rsid w:val="00314CA5"/>
    <w:rsid w:val="003324E2"/>
    <w:rsid w:val="003416E7"/>
    <w:rsid w:val="003474D8"/>
    <w:rsid w:val="00352380"/>
    <w:rsid w:val="00357B4F"/>
    <w:rsid w:val="0036025C"/>
    <w:rsid w:val="0036562F"/>
    <w:rsid w:val="003768C5"/>
    <w:rsid w:val="00380A93"/>
    <w:rsid w:val="00383654"/>
    <w:rsid w:val="003B7773"/>
    <w:rsid w:val="003C1B4C"/>
    <w:rsid w:val="003C527F"/>
    <w:rsid w:val="003D1762"/>
    <w:rsid w:val="003D2016"/>
    <w:rsid w:val="003D3B26"/>
    <w:rsid w:val="003D4A58"/>
    <w:rsid w:val="003D6F11"/>
    <w:rsid w:val="003E0111"/>
    <w:rsid w:val="00410789"/>
    <w:rsid w:val="00450C4D"/>
    <w:rsid w:val="00451011"/>
    <w:rsid w:val="00482FC1"/>
    <w:rsid w:val="004D0C9B"/>
    <w:rsid w:val="004E3DBF"/>
    <w:rsid w:val="004F7475"/>
    <w:rsid w:val="00553975"/>
    <w:rsid w:val="00557EA2"/>
    <w:rsid w:val="005630B9"/>
    <w:rsid w:val="00576B8E"/>
    <w:rsid w:val="005D3623"/>
    <w:rsid w:val="005D6B6C"/>
    <w:rsid w:val="00626415"/>
    <w:rsid w:val="00651378"/>
    <w:rsid w:val="006537C4"/>
    <w:rsid w:val="00687E7A"/>
    <w:rsid w:val="00692DBD"/>
    <w:rsid w:val="006A02D1"/>
    <w:rsid w:val="006C0C1E"/>
    <w:rsid w:val="006E29B2"/>
    <w:rsid w:val="006E5AD7"/>
    <w:rsid w:val="00717E56"/>
    <w:rsid w:val="00721CAC"/>
    <w:rsid w:val="00732AAC"/>
    <w:rsid w:val="00746ABE"/>
    <w:rsid w:val="00754617"/>
    <w:rsid w:val="007844FC"/>
    <w:rsid w:val="007B102F"/>
    <w:rsid w:val="007B3181"/>
    <w:rsid w:val="007B3688"/>
    <w:rsid w:val="007F1DF9"/>
    <w:rsid w:val="00804026"/>
    <w:rsid w:val="008102AD"/>
    <w:rsid w:val="00812962"/>
    <w:rsid w:val="008141F1"/>
    <w:rsid w:val="00825712"/>
    <w:rsid w:val="00847093"/>
    <w:rsid w:val="00862524"/>
    <w:rsid w:val="00865D86"/>
    <w:rsid w:val="00873AEB"/>
    <w:rsid w:val="008B4A28"/>
    <w:rsid w:val="008B5AD8"/>
    <w:rsid w:val="008B6550"/>
    <w:rsid w:val="008C34BA"/>
    <w:rsid w:val="00912730"/>
    <w:rsid w:val="00916F42"/>
    <w:rsid w:val="00927224"/>
    <w:rsid w:val="00955F40"/>
    <w:rsid w:val="00964A41"/>
    <w:rsid w:val="00973F87"/>
    <w:rsid w:val="00977CCE"/>
    <w:rsid w:val="00990E51"/>
    <w:rsid w:val="009C4FA9"/>
    <w:rsid w:val="009D7361"/>
    <w:rsid w:val="00A019D7"/>
    <w:rsid w:val="00A0668F"/>
    <w:rsid w:val="00A1201C"/>
    <w:rsid w:val="00A46AAB"/>
    <w:rsid w:val="00A5374A"/>
    <w:rsid w:val="00A61949"/>
    <w:rsid w:val="00A801D5"/>
    <w:rsid w:val="00A83FD6"/>
    <w:rsid w:val="00A875C0"/>
    <w:rsid w:val="00A9463E"/>
    <w:rsid w:val="00A955E8"/>
    <w:rsid w:val="00AA273E"/>
    <w:rsid w:val="00AC69F1"/>
    <w:rsid w:val="00AD7F43"/>
    <w:rsid w:val="00AF7227"/>
    <w:rsid w:val="00B5004E"/>
    <w:rsid w:val="00B61903"/>
    <w:rsid w:val="00B63C52"/>
    <w:rsid w:val="00B7544B"/>
    <w:rsid w:val="00B757C7"/>
    <w:rsid w:val="00B80761"/>
    <w:rsid w:val="00BD4235"/>
    <w:rsid w:val="00BD5E84"/>
    <w:rsid w:val="00C02735"/>
    <w:rsid w:val="00C369CF"/>
    <w:rsid w:val="00C6124B"/>
    <w:rsid w:val="00C702AA"/>
    <w:rsid w:val="00CA59B7"/>
    <w:rsid w:val="00CC2F2F"/>
    <w:rsid w:val="00CE2209"/>
    <w:rsid w:val="00CE3A72"/>
    <w:rsid w:val="00CE58E7"/>
    <w:rsid w:val="00CF1AD4"/>
    <w:rsid w:val="00D03857"/>
    <w:rsid w:val="00D07DC9"/>
    <w:rsid w:val="00D33CE2"/>
    <w:rsid w:val="00D613B5"/>
    <w:rsid w:val="00DA1744"/>
    <w:rsid w:val="00DA2894"/>
    <w:rsid w:val="00DC16AF"/>
    <w:rsid w:val="00DC2B92"/>
    <w:rsid w:val="00DC7CFD"/>
    <w:rsid w:val="00DD036A"/>
    <w:rsid w:val="00DE557A"/>
    <w:rsid w:val="00E04CAE"/>
    <w:rsid w:val="00E13D2C"/>
    <w:rsid w:val="00E41CF3"/>
    <w:rsid w:val="00E41FCD"/>
    <w:rsid w:val="00EA6E38"/>
    <w:rsid w:val="00EB1F52"/>
    <w:rsid w:val="00ED0164"/>
    <w:rsid w:val="00EE3F64"/>
    <w:rsid w:val="00EF09EC"/>
    <w:rsid w:val="00F03688"/>
    <w:rsid w:val="00F043DF"/>
    <w:rsid w:val="00F32583"/>
    <w:rsid w:val="00F51E83"/>
    <w:rsid w:val="00F82F1A"/>
    <w:rsid w:val="00FC001F"/>
    <w:rsid w:val="00FD0E5C"/>
    <w:rsid w:val="00FE0C49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8141F1"/>
    <w:pPr>
      <w:ind w:left="720"/>
      <w:contextualSpacing/>
    </w:pPr>
  </w:style>
  <w:style w:type="paragraph" w:styleId="Header">
    <w:name w:val="header"/>
    <w:aliases w:val="Page Header"/>
    <w:basedOn w:val="Normal"/>
    <w:link w:val="HeaderChar"/>
    <w:rsid w:val="008141F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Page Header Char"/>
    <w:basedOn w:val="DefaultParagraphFont"/>
    <w:link w:val="Header"/>
    <w:rsid w:val="008141F1"/>
    <w:rPr>
      <w:rFonts w:cs="David"/>
      <w:sz w:val="24"/>
      <w:szCs w:val="24"/>
      <w:lang w:eastAsia="he-IL"/>
    </w:rPr>
  </w:style>
  <w:style w:type="paragraph" w:customStyle="1" w:styleId="LBLLevel2">
    <w:name w:val="LBLLevel 2"/>
    <w:basedOn w:val="Normal"/>
    <w:next w:val="Normal"/>
    <w:rsid w:val="008141F1"/>
    <w:pPr>
      <w:tabs>
        <w:tab w:val="left" w:pos="720"/>
        <w:tab w:val="left" w:pos="990"/>
        <w:tab w:val="left" w:pos="1260"/>
      </w:tabs>
      <w:bidi w:val="0"/>
      <w:spacing w:line="320" w:lineRule="atLeast"/>
    </w:pPr>
    <w:rPr>
      <w:rFonts w:ascii="Arial" w:hAnsi="Arial" w:cs="Times New Roman"/>
      <w:b/>
      <w:lang w:eastAsia="en-US" w:bidi="ar-SA"/>
    </w:rPr>
  </w:style>
  <w:style w:type="paragraph" w:styleId="NormalWeb">
    <w:name w:val="Normal (Web)"/>
    <w:basedOn w:val="Normal"/>
    <w:rsid w:val="008141F1"/>
    <w:pPr>
      <w:tabs>
        <w:tab w:val="left" w:pos="720"/>
        <w:tab w:val="left" w:pos="994"/>
      </w:tabs>
      <w:bidi w:val="0"/>
      <w:spacing w:line="320" w:lineRule="atLeast"/>
    </w:pPr>
    <w:rPr>
      <w:rFonts w:cs="Times New Roman"/>
      <w:lang w:eastAsia="en-US" w:bidi="ar-SA"/>
    </w:rPr>
  </w:style>
  <w:style w:type="paragraph" w:customStyle="1" w:styleId="LBLBulletStyle1">
    <w:name w:val="LBL BulletStyle 1"/>
    <w:basedOn w:val="Normal"/>
    <w:rsid w:val="007B3688"/>
    <w:pPr>
      <w:numPr>
        <w:numId w:val="16"/>
      </w:numPr>
      <w:tabs>
        <w:tab w:val="left" w:pos="720"/>
        <w:tab w:val="left" w:pos="994"/>
      </w:tabs>
      <w:bidi w:val="0"/>
      <w:spacing w:line="320" w:lineRule="atLeast"/>
    </w:pPr>
    <w:rPr>
      <w:rFonts w:cs="Times New Roman"/>
      <w:szCs w:val="20"/>
      <w:lang w:eastAsia="en-US" w:bidi="ar-SA"/>
    </w:rPr>
  </w:style>
  <w:style w:type="character" w:customStyle="1" w:styleId="LBLLevel3">
    <w:name w:val="LBLLevel 3"/>
    <w:basedOn w:val="DefaultParagraphFont"/>
    <w:rsid w:val="007B3688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7B3688"/>
    <w:pPr>
      <w:tabs>
        <w:tab w:val="left" w:pos="720"/>
        <w:tab w:val="left" w:pos="994"/>
      </w:tabs>
      <w:bidi w:val="0"/>
    </w:pPr>
    <w:rPr>
      <w:rFonts w:cs="Times New Roma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7B3688"/>
    <w:rPr>
      <w:lang w:bidi="ar-SA"/>
    </w:rPr>
  </w:style>
  <w:style w:type="character" w:styleId="CommentReference">
    <w:name w:val="annotation reference"/>
    <w:basedOn w:val="DefaultParagraphFont"/>
    <w:rsid w:val="007B3688"/>
    <w:rPr>
      <w:rFonts w:ascii="Arial" w:hAnsi="Arial"/>
      <w:vanish/>
      <w:color w:val="FF0000"/>
      <w:sz w:val="16"/>
    </w:rPr>
  </w:style>
  <w:style w:type="character" w:customStyle="1" w:styleId="msoins0">
    <w:name w:val="msoins"/>
    <w:basedOn w:val="DefaultParagraphFont"/>
    <w:rsid w:val="007B3688"/>
  </w:style>
  <w:style w:type="paragraph" w:customStyle="1" w:styleId="14-">
    <w:name w:val="14-דוד"/>
    <w:rsid w:val="00F51E83"/>
    <w:rPr>
      <w:rFonts w:hAnsi="Naskh Traditional MT" w:cs="QDavid"/>
      <w:snapToGrid w:val="0"/>
      <w:sz w:val="28"/>
      <w:szCs w:val="28"/>
      <w:lang w:eastAsia="he-IL"/>
    </w:rPr>
  </w:style>
  <w:style w:type="table" w:styleId="TableGrid">
    <w:name w:val="Table Grid"/>
    <w:basedOn w:val="TableNormal"/>
    <w:uiPriority w:val="59"/>
    <w:rsid w:val="00451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0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FC"/>
    <w:pPr>
      <w:tabs>
        <w:tab w:val="clear" w:pos="720"/>
        <w:tab w:val="clear" w:pos="994"/>
      </w:tabs>
      <w:bidi/>
    </w:pPr>
    <w:rPr>
      <w:rFonts w:cs="David"/>
      <w:b/>
      <w:bCs/>
      <w:lang w:eastAsia="he-IL"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FC"/>
    <w:rPr>
      <w:rFonts w:cs="David"/>
      <w:b/>
      <w:bCs/>
      <w:lang w:eastAsia="he-IL"/>
    </w:rPr>
  </w:style>
  <w:style w:type="paragraph" w:customStyle="1" w:styleId="LBLLevel1">
    <w:name w:val="LBLLevel 1"/>
    <w:basedOn w:val="Normal"/>
    <w:next w:val="Normal"/>
    <w:link w:val="LBLLevel1Char"/>
    <w:rsid w:val="00912730"/>
    <w:pPr>
      <w:keepNext/>
      <w:tabs>
        <w:tab w:val="left" w:pos="720"/>
        <w:tab w:val="left" w:pos="994"/>
      </w:tabs>
      <w:bidi w:val="0"/>
      <w:spacing w:before="240" w:line="320" w:lineRule="atLeast"/>
    </w:pPr>
    <w:rPr>
      <w:rFonts w:ascii="Arial" w:hAnsi="Arial" w:cs="Times New Roman"/>
      <w:b/>
      <w:caps/>
      <w:szCs w:val="20"/>
    </w:rPr>
  </w:style>
  <w:style w:type="character" w:customStyle="1" w:styleId="LBLLevel1Char">
    <w:name w:val="LBLLevel 1 Char"/>
    <w:link w:val="LBLLevel1"/>
    <w:rsid w:val="00912730"/>
    <w:rPr>
      <w:rFonts w:ascii="Arial" w:hAnsi="Arial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172011816</AutoNumber>
    <REQUESTNUMBER xmlns="43f5c83f-d7ad-4276-a107-8019a824ecd5">95190,95191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103591,103591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6,6</REQUESTTYPE>
    <UCOMMENTS xmlns="43f5c83f-d7ad-4276-a107-8019a824ecd5">החמרות בעלונים_04_2014</UCOMMENTS>
    <OWNER xmlns="43f5c83f-d7ad-4276-a107-8019a824ecd5">636,636</OWNER>
    <ISPUBLIC xmlns="43f5c83f-d7ad-4276-a107-8019a824ecd5">1</ISPUBLIC>
    <SDHebDate xmlns="43f5c83f-d7ad-4276-a107-8019a824ecd5">כ"ב בניסן, התשע"ד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3167000,3167100</REGISTRATIONNUMBER>
    <SDCategories xmlns="43f5c83f-d7ad-4276-a107-8019a824ecd5" xsi:nil="true"/>
    <SDDocDate xmlns="43f5c83f-d7ad-4276-a107-8019a824ecd5">2014-04-22T05:00:01+00:00</SDDocDate>
    <DRAGOBJID xmlns="43f5c83f-d7ad-4276-a107-8019a824ecd5">3167000,3167100</DRAGOBJID>
    <mossuploaddate xmlns="43f5c83f-d7ad-4276-a107-8019a824ecd5">2014-04-22 12:10:45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26F3B-178B-4624-877E-15FA30A3A4F2}"/>
</file>

<file path=customXml/itemProps2.xml><?xml version="1.0" encoding="utf-8"?>
<ds:datastoreItem xmlns:ds="http://schemas.openxmlformats.org/officeDocument/2006/customXml" ds:itemID="{BA5F8C66-1C69-432C-B2F7-1112FE57A499}"/>
</file>

<file path=customXml/itemProps3.xml><?xml version="1.0" encoding="utf-8"?>
<ds:datastoreItem xmlns:ds="http://schemas.openxmlformats.org/officeDocument/2006/customXml" ds:itemID="{E430D099-909A-4B9A-A187-D14B65BEFD76}"/>
</file>

<file path=customXml/itemProps4.xml><?xml version="1.0" encoding="utf-8"?>
<ds:datastoreItem xmlns:ds="http://schemas.openxmlformats.org/officeDocument/2006/customXml" ds:itemID="{7DF56031-D477-4FAA-BF2B-150CBFD28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465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Celsentri-150mg_300mg-strengthens-form-04-2014</dc:title>
  <dc:subject/>
  <dc:creator>hy47755</dc:creator>
  <cp:keywords/>
  <dc:description/>
  <cp:lastModifiedBy>gmm62629</cp:lastModifiedBy>
  <cp:revision>13</cp:revision>
  <cp:lastPrinted>2014-04-10T09:01:00Z</cp:lastPrinted>
  <dcterms:created xsi:type="dcterms:W3CDTF">2013-08-28T06:08:00Z</dcterms:created>
  <dcterms:modified xsi:type="dcterms:W3CDTF">2014-04-10T09:38:00Z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