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96" w:rsidRDefault="008E7296" w:rsidP="008E7296">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w:t>
      </w:r>
      <w:r>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בעלון לרופא</w:t>
      </w:r>
    </w:p>
    <w:p w:rsidR="007063BF" w:rsidRPr="0077598B" w:rsidRDefault="008E7296" w:rsidP="008E7296">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46F36">
        <w:rPr>
          <w:rFonts w:cs="David Transparent" w:hint="cs"/>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007063BF" w:rsidRPr="0077598B">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7063BF" w:rsidRDefault="007063BF">
      <w:pPr>
        <w:rPr>
          <w:b/>
          <w:bCs/>
          <w:rtl/>
        </w:rPr>
      </w:pPr>
    </w:p>
    <w:p w:rsidR="007063BF" w:rsidRPr="00D3782D" w:rsidRDefault="007063BF" w:rsidP="00F52D61">
      <w:pPr>
        <w:spacing w:line="360" w:lineRule="auto"/>
        <w:rPr>
          <w:rFonts w:cs="David Transparent"/>
          <w:sz w:val="20"/>
          <w:szCs w:val="20"/>
          <w:rtl/>
        </w:rPr>
      </w:pPr>
      <w:r w:rsidRPr="00FC10E6">
        <w:rPr>
          <w:rFonts w:cs="David Transparent" w:hint="cs"/>
          <w:b/>
          <w:bCs/>
          <w:rtl/>
        </w:rPr>
        <w:t>תאריך</w:t>
      </w:r>
      <w:r w:rsidR="004224DB" w:rsidRPr="00FC10E6">
        <w:rPr>
          <w:rFonts w:cs="David Transparent" w:hint="cs"/>
          <w:b/>
          <w:bCs/>
          <w:rtl/>
        </w:rPr>
        <w:t>:</w:t>
      </w:r>
      <w:r w:rsidR="00F90E5E" w:rsidRPr="00D3782D">
        <w:rPr>
          <w:rFonts w:cs="David Transparent" w:hint="cs"/>
          <w:rtl/>
        </w:rPr>
        <w:tab/>
      </w:r>
    </w:p>
    <w:p w:rsidR="00D80D0B" w:rsidRDefault="007063BF" w:rsidP="00894D20">
      <w:pPr>
        <w:spacing w:line="360" w:lineRule="auto"/>
        <w:rPr>
          <w:rFonts w:cs="David Transparent"/>
          <w:b/>
          <w:bCs/>
        </w:rPr>
      </w:pPr>
      <w:r w:rsidRPr="00FC10E6">
        <w:rPr>
          <w:rFonts w:cs="David Transparent" w:hint="cs"/>
          <w:b/>
          <w:bCs/>
          <w:rtl/>
        </w:rPr>
        <w:t>שם תכשיר באנגלית</w:t>
      </w:r>
      <w:r w:rsidR="004224DB" w:rsidRPr="00FC10E6">
        <w:rPr>
          <w:rFonts w:cs="David Transparent" w:hint="cs"/>
          <w:b/>
          <w:bCs/>
          <w:rtl/>
        </w:rPr>
        <w:t>:</w:t>
      </w:r>
      <w:r w:rsidR="008D4CE3" w:rsidRPr="00FC10E6">
        <w:rPr>
          <w:rFonts w:cs="David Transparent" w:hint="cs"/>
          <w:b/>
          <w:bCs/>
          <w:rtl/>
        </w:rPr>
        <w:tab/>
      </w:r>
      <w:r w:rsidR="00894D20">
        <w:rPr>
          <w:rFonts w:cs="David Transparent"/>
          <w:b/>
          <w:bCs/>
        </w:rPr>
        <w:t>Gilenya 0.5 mg</w:t>
      </w:r>
    </w:p>
    <w:p w:rsidR="007063BF" w:rsidRPr="00FC10E6" w:rsidRDefault="007063BF" w:rsidP="00894D20">
      <w:pPr>
        <w:spacing w:line="360" w:lineRule="auto"/>
        <w:rPr>
          <w:rFonts w:cs="David Transparent"/>
          <w:b/>
          <w:bCs/>
          <w:rtl/>
        </w:rPr>
      </w:pPr>
      <w:r w:rsidRPr="00FC10E6">
        <w:rPr>
          <w:rFonts w:cs="David Transparent" w:hint="cs"/>
          <w:b/>
          <w:bCs/>
          <w:rtl/>
        </w:rPr>
        <w:t xml:space="preserve">מספר </w:t>
      </w:r>
      <w:r w:rsidR="008E7296">
        <w:rPr>
          <w:rFonts w:cs="David Transparent" w:hint="cs"/>
          <w:b/>
          <w:bCs/>
          <w:rtl/>
        </w:rPr>
        <w:t>ה</w:t>
      </w:r>
      <w:r w:rsidRPr="00FC10E6">
        <w:rPr>
          <w:rFonts w:cs="David Transparent" w:hint="cs"/>
          <w:b/>
          <w:bCs/>
          <w:rtl/>
        </w:rPr>
        <w:t>רישום:</w:t>
      </w:r>
      <w:r w:rsidR="00F90E5E" w:rsidRPr="00FC10E6">
        <w:rPr>
          <w:rFonts w:cs="David Transparent" w:hint="cs"/>
          <w:b/>
          <w:bCs/>
          <w:rtl/>
        </w:rPr>
        <w:tab/>
      </w:r>
      <w:r w:rsidR="001A608C">
        <w:rPr>
          <w:rFonts w:cs="David Transparent"/>
          <w:b/>
          <w:bCs/>
        </w:rPr>
        <w:t>[</w:t>
      </w:r>
      <w:r w:rsidR="00894D20">
        <w:rPr>
          <w:rFonts w:cs="David Transparent"/>
          <w:b/>
          <w:bCs/>
        </w:rPr>
        <w:t>33270</w:t>
      </w:r>
      <w:r w:rsidR="001A608C">
        <w:rPr>
          <w:rFonts w:cs="David Transparent"/>
          <w:b/>
          <w:bCs/>
        </w:rPr>
        <w:t>]</w:t>
      </w:r>
    </w:p>
    <w:p w:rsidR="007063BF" w:rsidRPr="001A608C" w:rsidRDefault="007063BF" w:rsidP="001A608C">
      <w:pPr>
        <w:spacing w:line="360" w:lineRule="auto"/>
        <w:rPr>
          <w:rFonts w:cs="David Transparent"/>
          <w:szCs w:val="28"/>
          <w:rtl/>
        </w:rPr>
      </w:pPr>
      <w:r w:rsidRPr="00FC10E6">
        <w:rPr>
          <w:rFonts w:cs="David Transparent" w:hint="cs"/>
          <w:b/>
          <w:bCs/>
          <w:rtl/>
        </w:rPr>
        <w:t>שם בעל הרישום:</w:t>
      </w:r>
      <w:r w:rsidR="001A608C">
        <w:rPr>
          <w:rFonts w:cs="David Transparent" w:hint="cs"/>
          <w:rtl/>
        </w:rPr>
        <w:tab/>
        <w:t>נוברטיס פארמה סרויסס איי ג'י</w:t>
      </w:r>
    </w:p>
    <w:p w:rsidR="000C2846" w:rsidRDefault="008E7296" w:rsidP="008E7296">
      <w:pPr>
        <w:spacing w:line="360" w:lineRule="auto"/>
        <w:ind w:left="-694" w:firstLine="694"/>
        <w:jc w:val="center"/>
        <w:rPr>
          <w:b/>
          <w:bCs/>
          <w:u w:val="single"/>
          <w:rtl/>
        </w:rPr>
      </w:pPr>
      <w:r w:rsidRPr="00652041">
        <w:rPr>
          <w:rFonts w:hint="cs"/>
          <w:color w:val="FF0000"/>
          <w:rtl/>
        </w:rPr>
        <w:t>טופס זה מיועד לפירוט ההחמרות בלבד!</w:t>
      </w:r>
    </w:p>
    <w:tbl>
      <w:tblPr>
        <w:tblStyle w:val="af"/>
        <w:bidiVisual/>
        <w:tblW w:w="0" w:type="auto"/>
        <w:tblLook w:val="04A0" w:firstRow="1" w:lastRow="0" w:firstColumn="1" w:lastColumn="0" w:noHBand="0" w:noVBand="1"/>
      </w:tblPr>
      <w:tblGrid>
        <w:gridCol w:w="4117"/>
      </w:tblGrid>
      <w:tr w:rsidR="008E7296" w:rsidTr="00D518D0">
        <w:trPr>
          <w:trHeight w:val="916"/>
        </w:trPr>
        <w:tc>
          <w:tcPr>
            <w:tcW w:w="4117" w:type="dxa"/>
            <w:vAlign w:val="center"/>
          </w:tcPr>
          <w:p w:rsidR="008E7296" w:rsidRPr="001A608C" w:rsidRDefault="008E7296" w:rsidP="008E7296">
            <w:pPr>
              <w:rPr>
                <w:rFonts w:ascii="Calibri" w:hAnsi="Calibri"/>
                <w:sz w:val="20"/>
                <w:szCs w:val="20"/>
                <w:rtl/>
              </w:rPr>
            </w:pPr>
            <w:r w:rsidRPr="001A608C">
              <w:rPr>
                <w:rFonts w:ascii="Calibri" w:hAnsi="Calibri" w:hint="cs"/>
                <w:sz w:val="20"/>
                <w:szCs w:val="20"/>
                <w:rtl/>
              </w:rPr>
              <w:t xml:space="preserve">טקסט שחור </w:t>
            </w:r>
            <w:r w:rsidRPr="001A608C">
              <w:rPr>
                <w:rFonts w:ascii="Calibri" w:hAnsi="Calibri"/>
                <w:sz w:val="20"/>
                <w:szCs w:val="20"/>
                <w:rtl/>
              </w:rPr>
              <w:t>–</w:t>
            </w:r>
            <w:r w:rsidRPr="001A608C">
              <w:rPr>
                <w:rFonts w:ascii="Calibri" w:hAnsi="Calibri" w:hint="cs"/>
                <w:sz w:val="20"/>
                <w:szCs w:val="20"/>
                <w:rtl/>
              </w:rPr>
              <w:t xml:space="preserve"> טקסט מאושר</w:t>
            </w:r>
          </w:p>
          <w:p w:rsidR="008E7296" w:rsidRPr="001A608C" w:rsidRDefault="008E7296" w:rsidP="008E7296">
            <w:pPr>
              <w:rPr>
                <w:rFonts w:ascii="Calibri" w:hAnsi="Calibri"/>
                <w:sz w:val="20"/>
                <w:szCs w:val="20"/>
                <w:rtl/>
              </w:rPr>
            </w:pPr>
            <w:r w:rsidRPr="001A608C">
              <w:rPr>
                <w:rFonts w:ascii="Calibri" w:hAnsi="Calibri" w:hint="cs"/>
                <w:color w:val="0000FF"/>
                <w:sz w:val="20"/>
                <w:szCs w:val="20"/>
                <w:u w:val="single"/>
                <w:rtl/>
              </w:rPr>
              <w:t>טקסט עם קו תחתי</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הוספת טקסט לעלון המאושר</w:t>
            </w:r>
          </w:p>
          <w:p w:rsidR="008E7296" w:rsidRPr="001A608C" w:rsidRDefault="008E7296" w:rsidP="008E7296">
            <w:pPr>
              <w:rPr>
                <w:rFonts w:ascii="Calibri" w:hAnsi="Calibri"/>
                <w:sz w:val="20"/>
                <w:szCs w:val="20"/>
                <w:rtl/>
              </w:rPr>
            </w:pPr>
            <w:r w:rsidRPr="001A608C">
              <w:rPr>
                <w:rFonts w:ascii="Calibri" w:hAnsi="Calibri" w:hint="cs"/>
                <w:strike/>
                <w:color w:val="0000FF"/>
                <w:sz w:val="20"/>
                <w:szCs w:val="20"/>
                <w:rtl/>
              </w:rPr>
              <w:t>טקסט עם קו חוצה</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מחיקת טקסט מהעלון המאושר</w:t>
            </w:r>
          </w:p>
          <w:p w:rsidR="008E7296" w:rsidRDefault="008E7296" w:rsidP="008E7296">
            <w:pPr>
              <w:rPr>
                <w:b/>
                <w:bCs/>
                <w:rtl/>
              </w:rPr>
            </w:pPr>
            <w:r w:rsidRPr="001A608C">
              <w:rPr>
                <w:rFonts w:ascii="Calibri" w:hAnsi="Calibri" w:hint="cs"/>
                <w:color w:val="0000FF"/>
                <w:sz w:val="20"/>
                <w:szCs w:val="20"/>
                <w:highlight w:val="yellow"/>
                <w:rtl/>
              </w:rPr>
              <w:t xml:space="preserve">טקסט המסומן בצהוב </w:t>
            </w:r>
            <w:r w:rsidRPr="001A608C">
              <w:rPr>
                <w:rFonts w:ascii="Calibri" w:hAnsi="Calibri"/>
                <w:sz w:val="20"/>
                <w:szCs w:val="20"/>
                <w:rtl/>
              </w:rPr>
              <w:t>–</w:t>
            </w:r>
            <w:r w:rsidRPr="001A608C">
              <w:rPr>
                <w:rFonts w:ascii="Calibri" w:hAnsi="Calibri" w:hint="cs"/>
                <w:sz w:val="20"/>
                <w:szCs w:val="20"/>
                <w:rtl/>
              </w:rPr>
              <w:t xml:space="preserve"> החמרה</w:t>
            </w:r>
          </w:p>
        </w:tc>
      </w:tr>
    </w:tbl>
    <w:p w:rsidR="00D80D0B" w:rsidRPr="008E7296" w:rsidRDefault="00D80D0B" w:rsidP="00D80D0B">
      <w:pPr>
        <w:spacing w:line="360" w:lineRule="auto"/>
        <w:ind w:left="-694" w:firstLine="551"/>
      </w:pPr>
    </w:p>
    <w:tbl>
      <w:tblPr>
        <w:bidiVisual/>
        <w:tblW w:w="10347"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4111"/>
        <w:gridCol w:w="4437"/>
      </w:tblGrid>
      <w:tr w:rsidR="004224DB" w:rsidTr="00950344">
        <w:trPr>
          <w:cantSplit/>
          <w:jc w:val="center"/>
        </w:trPr>
        <w:tc>
          <w:tcPr>
            <w:tcW w:w="10347" w:type="dxa"/>
            <w:gridSpan w:val="3"/>
            <w:shd w:val="pct12" w:color="auto" w:fill="FFFFFF"/>
          </w:tcPr>
          <w:p w:rsidR="007063BF" w:rsidRDefault="007063BF">
            <w:pPr>
              <w:jc w:val="center"/>
              <w:rPr>
                <w:rFonts w:cs="David Transparent"/>
                <w:b/>
                <w:bCs/>
                <w:rtl/>
              </w:rPr>
            </w:pPr>
          </w:p>
          <w:p w:rsidR="007063BF" w:rsidRDefault="008E7296">
            <w:pPr>
              <w:jc w:val="center"/>
              <w:rPr>
                <w:rFonts w:cs="David Transparent"/>
                <w:b/>
                <w:bCs/>
                <w:rtl/>
              </w:rPr>
            </w:pPr>
            <w:r>
              <w:rPr>
                <w:rFonts w:cs="David Transparent" w:hint="cs"/>
                <w:b/>
                <w:bCs/>
                <w:rtl/>
              </w:rPr>
              <w:t>ההחמרות המבוקשות</w:t>
            </w:r>
          </w:p>
        </w:tc>
      </w:tr>
      <w:tr w:rsidR="004224DB" w:rsidTr="00FB1742">
        <w:trPr>
          <w:jc w:val="center"/>
        </w:trPr>
        <w:tc>
          <w:tcPr>
            <w:tcW w:w="1799" w:type="dxa"/>
          </w:tcPr>
          <w:p w:rsidR="004224DB" w:rsidRDefault="004224DB">
            <w:pPr>
              <w:jc w:val="center"/>
              <w:rPr>
                <w:b/>
                <w:bCs/>
                <w:rtl/>
              </w:rPr>
            </w:pPr>
          </w:p>
          <w:p w:rsidR="004224DB" w:rsidRDefault="004224DB">
            <w:pPr>
              <w:jc w:val="center"/>
              <w:rPr>
                <w:b/>
                <w:bCs/>
                <w:rtl/>
              </w:rPr>
            </w:pPr>
            <w:r>
              <w:rPr>
                <w:b/>
                <w:bCs/>
                <w:rtl/>
              </w:rPr>
              <w:t>פרק בעלון</w:t>
            </w:r>
          </w:p>
          <w:p w:rsidR="004224DB" w:rsidRDefault="004224DB">
            <w:pPr>
              <w:jc w:val="center"/>
              <w:rPr>
                <w:b/>
                <w:bCs/>
                <w:rtl/>
              </w:rPr>
            </w:pPr>
          </w:p>
        </w:tc>
        <w:tc>
          <w:tcPr>
            <w:tcW w:w="4111" w:type="dxa"/>
          </w:tcPr>
          <w:p w:rsidR="004224DB" w:rsidRDefault="004224DB">
            <w:pPr>
              <w:jc w:val="center"/>
              <w:rPr>
                <w:b/>
                <w:bCs/>
                <w:rtl/>
              </w:rPr>
            </w:pPr>
          </w:p>
          <w:p w:rsidR="004224DB" w:rsidRDefault="004224DB">
            <w:pPr>
              <w:jc w:val="center"/>
              <w:rPr>
                <w:b/>
                <w:bCs/>
                <w:rtl/>
              </w:rPr>
            </w:pPr>
            <w:r>
              <w:rPr>
                <w:b/>
                <w:bCs/>
                <w:rtl/>
              </w:rPr>
              <w:t>טקסט נוכחי</w:t>
            </w:r>
          </w:p>
        </w:tc>
        <w:tc>
          <w:tcPr>
            <w:tcW w:w="4437" w:type="dxa"/>
          </w:tcPr>
          <w:p w:rsidR="004224DB" w:rsidRDefault="004224DB">
            <w:pPr>
              <w:jc w:val="center"/>
              <w:rPr>
                <w:b/>
                <w:bCs/>
                <w:rtl/>
              </w:rPr>
            </w:pPr>
          </w:p>
          <w:p w:rsidR="004224DB" w:rsidRDefault="004224DB">
            <w:pPr>
              <w:jc w:val="center"/>
              <w:rPr>
                <w:b/>
                <w:bCs/>
                <w:rtl/>
              </w:rPr>
            </w:pPr>
            <w:r>
              <w:rPr>
                <w:b/>
                <w:bCs/>
                <w:rtl/>
              </w:rPr>
              <w:t>טקסט חדש</w:t>
            </w:r>
          </w:p>
        </w:tc>
      </w:tr>
      <w:tr w:rsidR="00C95D35" w:rsidTr="00FB1742">
        <w:trPr>
          <w:jc w:val="center"/>
        </w:trPr>
        <w:tc>
          <w:tcPr>
            <w:tcW w:w="1799" w:type="dxa"/>
          </w:tcPr>
          <w:p w:rsidR="00C95D35" w:rsidRDefault="00576AFC" w:rsidP="00576AFC">
            <w:pPr>
              <w:bidi w:val="0"/>
              <w:rPr>
                <w:b/>
                <w:bCs/>
                <w:lang w:val="en-GB"/>
              </w:rPr>
            </w:pPr>
            <w:r>
              <w:rPr>
                <w:b/>
                <w:bCs/>
                <w:lang w:val="en-GB"/>
              </w:rPr>
              <w:t>W</w:t>
            </w:r>
            <w:r w:rsidR="00C95D35" w:rsidRPr="00C95D35">
              <w:rPr>
                <w:b/>
                <w:bCs/>
                <w:lang w:val="en-GB"/>
              </w:rPr>
              <w:t>arnings and precautions</w:t>
            </w:r>
          </w:p>
        </w:tc>
        <w:tc>
          <w:tcPr>
            <w:tcW w:w="4111" w:type="dxa"/>
          </w:tcPr>
          <w:p w:rsidR="00C95D35" w:rsidRDefault="00576AFC" w:rsidP="009C0869">
            <w:pPr>
              <w:pStyle w:val="Text"/>
              <w:spacing w:before="60"/>
              <w:jc w:val="left"/>
              <w:rPr>
                <w:b/>
                <w:bCs/>
                <w:sz w:val="20"/>
              </w:rPr>
            </w:pPr>
            <w:r>
              <w:rPr>
                <w:b/>
                <w:bCs/>
                <w:sz w:val="20"/>
              </w:rPr>
              <w:t>Infections</w:t>
            </w:r>
          </w:p>
          <w:p w:rsidR="00576AFC" w:rsidRDefault="00576AFC" w:rsidP="009C0869">
            <w:pPr>
              <w:pStyle w:val="Text"/>
              <w:spacing w:before="60"/>
              <w:jc w:val="left"/>
              <w:rPr>
                <w:b/>
                <w:bCs/>
                <w:sz w:val="20"/>
              </w:rPr>
            </w:pPr>
            <w:r>
              <w:rPr>
                <w:b/>
                <w:bCs/>
                <w:sz w:val="20"/>
              </w:rPr>
              <w:t>…</w:t>
            </w:r>
          </w:p>
          <w:p w:rsidR="00576AFC" w:rsidRDefault="00576AFC" w:rsidP="00576AFC">
            <w:pPr>
              <w:pStyle w:val="Text"/>
              <w:rPr>
                <w:color w:val="0000FF"/>
                <w:szCs w:val="24"/>
              </w:rPr>
            </w:pPr>
            <w:r>
              <w:rPr>
                <w:szCs w:val="24"/>
              </w:rPr>
              <w:t>Anti-neoplastic, immunosuppressive or immune modulating therapies should be co-administered with caution due to the risk of additive immune system effects (see section 8 Interactions)</w:t>
            </w:r>
            <w:r>
              <w:rPr>
                <w:color w:val="0000FF"/>
                <w:szCs w:val="24"/>
              </w:rPr>
              <w:t>.</w:t>
            </w:r>
          </w:p>
          <w:p w:rsidR="00D26035" w:rsidRDefault="00D26035" w:rsidP="00D26035">
            <w:pPr>
              <w:pStyle w:val="Text"/>
              <w:rPr>
                <w:color w:val="0000FF"/>
                <w:szCs w:val="24"/>
              </w:rPr>
            </w:pPr>
          </w:p>
          <w:p w:rsidR="00D26035" w:rsidRDefault="00D26035" w:rsidP="00D26035">
            <w:pPr>
              <w:pStyle w:val="Text"/>
              <w:rPr>
                <w:color w:val="0000FF"/>
                <w:szCs w:val="24"/>
              </w:rPr>
            </w:pPr>
          </w:p>
          <w:p w:rsidR="00D26035" w:rsidRDefault="00D26035" w:rsidP="00D26035">
            <w:pPr>
              <w:pStyle w:val="Text"/>
              <w:rPr>
                <w:color w:val="0000FF"/>
                <w:szCs w:val="24"/>
              </w:rPr>
            </w:pPr>
          </w:p>
          <w:p w:rsidR="00D26035" w:rsidRDefault="00D26035" w:rsidP="00D26035">
            <w:pPr>
              <w:pStyle w:val="Text"/>
              <w:rPr>
                <w:color w:val="0000FF"/>
                <w:szCs w:val="24"/>
              </w:rPr>
            </w:pPr>
          </w:p>
          <w:p w:rsidR="00D26035" w:rsidRDefault="00D26035" w:rsidP="00D26035">
            <w:pPr>
              <w:pStyle w:val="Text"/>
              <w:rPr>
                <w:color w:val="0000FF"/>
                <w:szCs w:val="24"/>
              </w:rPr>
            </w:pPr>
          </w:p>
          <w:p w:rsidR="00D26035" w:rsidRDefault="00D26035" w:rsidP="00D26035">
            <w:pPr>
              <w:pStyle w:val="Text"/>
              <w:rPr>
                <w:color w:val="0000FF"/>
                <w:szCs w:val="24"/>
              </w:rPr>
            </w:pPr>
          </w:p>
          <w:p w:rsidR="00D26035" w:rsidRDefault="00D26035" w:rsidP="00D26035">
            <w:pPr>
              <w:pStyle w:val="Text"/>
              <w:rPr>
                <w:color w:val="0000FF"/>
                <w:szCs w:val="24"/>
              </w:rPr>
            </w:pPr>
          </w:p>
          <w:p w:rsidR="00D26035" w:rsidRDefault="00D26035" w:rsidP="00D26035">
            <w:pPr>
              <w:pStyle w:val="Text"/>
              <w:rPr>
                <w:color w:val="0000FF"/>
                <w:szCs w:val="24"/>
              </w:rPr>
            </w:pPr>
          </w:p>
          <w:p w:rsidR="00D26035" w:rsidRDefault="00D26035" w:rsidP="00D26035">
            <w:pPr>
              <w:pStyle w:val="Text"/>
              <w:rPr>
                <w:color w:val="0000FF"/>
                <w:szCs w:val="24"/>
              </w:rPr>
            </w:pPr>
          </w:p>
          <w:p w:rsidR="00D26035" w:rsidRDefault="00D26035" w:rsidP="00D26035">
            <w:pPr>
              <w:pStyle w:val="Text"/>
              <w:rPr>
                <w:color w:val="0000FF"/>
                <w:szCs w:val="24"/>
              </w:rPr>
            </w:pPr>
            <w:r>
              <w:rPr>
                <w:color w:val="0000FF"/>
                <w:szCs w:val="24"/>
              </w:rPr>
              <w:t>…</w:t>
            </w:r>
          </w:p>
          <w:p w:rsidR="00D26035" w:rsidRDefault="00D26035" w:rsidP="00D26035">
            <w:pPr>
              <w:pStyle w:val="Text"/>
              <w:rPr>
                <w:szCs w:val="24"/>
              </w:rPr>
            </w:pPr>
            <w:r>
              <w:rPr>
                <w:szCs w:val="24"/>
              </w:rPr>
              <w:t xml:space="preserve">As could be considered for any immune modulating drug, before initiating Gilenya therapy, patients without a history of chickenpox or without vaccination against varicella zoster virus (VZV) should be tested for antibodies to VZV. VZV vaccination of antibody negative patients should be considered prior to commencing treatment with Gilenya, following which </w:t>
            </w:r>
          </w:p>
          <w:p w:rsidR="00576AFC" w:rsidRPr="008C301F" w:rsidRDefault="00576AFC" w:rsidP="009C0869">
            <w:pPr>
              <w:pStyle w:val="Text"/>
              <w:spacing w:before="60"/>
              <w:jc w:val="left"/>
              <w:rPr>
                <w:b/>
                <w:bCs/>
                <w:sz w:val="20"/>
                <w:rtl/>
              </w:rPr>
            </w:pPr>
          </w:p>
        </w:tc>
        <w:tc>
          <w:tcPr>
            <w:tcW w:w="4437" w:type="dxa"/>
          </w:tcPr>
          <w:p w:rsidR="002A69DC" w:rsidRDefault="00576AFC" w:rsidP="0093466D">
            <w:pPr>
              <w:pStyle w:val="Text"/>
              <w:spacing w:before="60" w:line="240" w:lineRule="auto"/>
              <w:jc w:val="left"/>
              <w:rPr>
                <w:rFonts w:ascii="Times New Roman" w:hAnsi="Times New Roman"/>
                <w:sz w:val="24"/>
                <w:szCs w:val="24"/>
                <w:lang w:val="en-US"/>
              </w:rPr>
            </w:pPr>
            <w:r w:rsidRPr="00576AFC">
              <w:rPr>
                <w:rFonts w:ascii="Times New Roman" w:hAnsi="Times New Roman"/>
                <w:sz w:val="24"/>
                <w:szCs w:val="24"/>
                <w:lang w:val="en-US"/>
              </w:rPr>
              <w:t>Infections</w:t>
            </w:r>
          </w:p>
          <w:p w:rsidR="00576AFC" w:rsidRDefault="00576AFC" w:rsidP="0093466D">
            <w:pPr>
              <w:pStyle w:val="Text"/>
              <w:spacing w:before="60" w:line="240" w:lineRule="auto"/>
              <w:jc w:val="left"/>
              <w:rPr>
                <w:rFonts w:ascii="Times New Roman" w:hAnsi="Times New Roman"/>
                <w:sz w:val="24"/>
                <w:szCs w:val="24"/>
                <w:lang w:val="en-US"/>
              </w:rPr>
            </w:pPr>
            <w:r>
              <w:rPr>
                <w:rFonts w:ascii="Times New Roman" w:hAnsi="Times New Roman"/>
                <w:sz w:val="24"/>
                <w:szCs w:val="24"/>
                <w:lang w:val="en-US"/>
              </w:rPr>
              <w:t>...</w:t>
            </w:r>
          </w:p>
          <w:p w:rsidR="00576AFC" w:rsidRDefault="00576AFC" w:rsidP="001B3BB4">
            <w:pPr>
              <w:pStyle w:val="Text"/>
              <w:rPr>
                <w:color w:val="0000FF"/>
                <w:szCs w:val="24"/>
              </w:rPr>
            </w:pPr>
            <w:r>
              <w:rPr>
                <w:szCs w:val="24"/>
              </w:rPr>
              <w:t xml:space="preserve">Anti-neoplastic, </w:t>
            </w:r>
            <w:r w:rsidRPr="001B3BB4">
              <w:rPr>
                <w:strike/>
                <w:color w:val="0000FF"/>
                <w:szCs w:val="24"/>
              </w:rPr>
              <w:t>immunosuppressive or</w:t>
            </w:r>
            <w:r w:rsidR="001B3BB4">
              <w:rPr>
                <w:strike/>
                <w:color w:val="0000FF"/>
                <w:szCs w:val="24"/>
              </w:rPr>
              <w:t xml:space="preserve"> </w:t>
            </w:r>
            <w:r>
              <w:rPr>
                <w:szCs w:val="24"/>
              </w:rPr>
              <w:t>immune</w:t>
            </w:r>
            <w:r w:rsidRPr="001B3BB4">
              <w:rPr>
                <w:strike/>
                <w:szCs w:val="24"/>
              </w:rPr>
              <w:t xml:space="preserve"> </w:t>
            </w:r>
            <w:r w:rsidR="001B3BB4" w:rsidRPr="001B3BB4">
              <w:rPr>
                <w:szCs w:val="24"/>
                <w:u w:val="single"/>
              </w:rPr>
              <w:t>-</w:t>
            </w:r>
            <w:r>
              <w:rPr>
                <w:szCs w:val="24"/>
              </w:rPr>
              <w:t xml:space="preserve">modulating </w:t>
            </w:r>
            <w:r w:rsidRPr="001B3BB4">
              <w:rPr>
                <w:color w:val="0000FF"/>
                <w:szCs w:val="24"/>
                <w:u w:val="single"/>
              </w:rPr>
              <w:t xml:space="preserve">or immunosuppressive </w:t>
            </w:r>
            <w:r>
              <w:rPr>
                <w:szCs w:val="24"/>
              </w:rPr>
              <w:t xml:space="preserve">therapies </w:t>
            </w:r>
            <w:r w:rsidRPr="001B3BB4">
              <w:rPr>
                <w:color w:val="0000FF"/>
                <w:szCs w:val="24"/>
                <w:highlight w:val="yellow"/>
                <w:u w:val="single"/>
              </w:rPr>
              <w:t>(including corticosteroids</w:t>
            </w:r>
            <w:r w:rsidRPr="001B3BB4">
              <w:rPr>
                <w:color w:val="0000FF"/>
                <w:szCs w:val="24"/>
                <w:u w:val="single"/>
              </w:rPr>
              <w:t>)</w:t>
            </w:r>
            <w:r w:rsidRPr="001B3BB4">
              <w:rPr>
                <w:color w:val="0000FF"/>
                <w:szCs w:val="24"/>
              </w:rPr>
              <w:t xml:space="preserve"> </w:t>
            </w:r>
            <w:r>
              <w:rPr>
                <w:szCs w:val="24"/>
              </w:rPr>
              <w:t>should be co-administered with caution due to the risk of additive immune system effects</w:t>
            </w:r>
            <w:r w:rsidRPr="001B3BB4">
              <w:rPr>
                <w:color w:val="0000FF"/>
                <w:szCs w:val="24"/>
                <w:u w:val="single"/>
              </w:rPr>
              <w:t xml:space="preserve">. </w:t>
            </w:r>
            <w:r w:rsidRPr="001B3BB4">
              <w:rPr>
                <w:color w:val="0000FF"/>
                <w:highlight w:val="yellow"/>
                <w:u w:val="single"/>
              </w:rPr>
              <w:t>Specific decisions as to the dosage and duration of treatment with corticosteroids should be based on clinical judgment</w:t>
            </w:r>
            <w:r w:rsidRPr="001B3BB4">
              <w:rPr>
                <w:color w:val="0000FF"/>
                <w:u w:val="single"/>
              </w:rPr>
              <w:t xml:space="preserve">. Co-administration of a short course of corticosteroids (up to 5 days as per study protocols) did not increase the overall rate of infection in patients treated with fingolimod in the Phase III clinical trials, compared to placebo. Based on these data, short courses of corticosteroids (up to 5 days) can be used in combination with Gilenya </w:t>
            </w:r>
            <w:r>
              <w:rPr>
                <w:szCs w:val="24"/>
              </w:rPr>
              <w:t xml:space="preserve">(see </w:t>
            </w:r>
            <w:r w:rsidRPr="001B3BB4">
              <w:rPr>
                <w:color w:val="0000FF"/>
                <w:u w:val="single"/>
              </w:rPr>
              <w:t xml:space="preserve">section 7 Adverse drug reactions and </w:t>
            </w:r>
            <w:r>
              <w:rPr>
                <w:szCs w:val="24"/>
              </w:rPr>
              <w:t>section 8 Interactions)</w:t>
            </w:r>
            <w:r>
              <w:rPr>
                <w:color w:val="0000FF"/>
                <w:szCs w:val="24"/>
              </w:rPr>
              <w:t>.</w:t>
            </w:r>
          </w:p>
          <w:p w:rsidR="00D26035" w:rsidRDefault="00D26035" w:rsidP="00D26035">
            <w:pPr>
              <w:pStyle w:val="Text"/>
              <w:rPr>
                <w:color w:val="0000FF"/>
                <w:szCs w:val="24"/>
              </w:rPr>
            </w:pPr>
            <w:r>
              <w:rPr>
                <w:color w:val="0000FF"/>
                <w:szCs w:val="24"/>
              </w:rPr>
              <w:t>…</w:t>
            </w:r>
          </w:p>
          <w:p w:rsidR="00D26035" w:rsidRPr="001B3BB4" w:rsidRDefault="00D26035" w:rsidP="00D26035">
            <w:pPr>
              <w:pStyle w:val="Text"/>
              <w:rPr>
                <w:color w:val="0000FF"/>
                <w:szCs w:val="24"/>
                <w:u w:val="single"/>
              </w:rPr>
            </w:pPr>
            <w:r w:rsidRPr="001B3BB4">
              <w:rPr>
                <w:strike/>
                <w:color w:val="0000FF"/>
                <w:szCs w:val="24"/>
              </w:rPr>
              <w:t>As could be considered for any immune modulating drug, before initiating Gilenya therapy, patients without a history of chickenpox or without vaccination against varicella zoster virus (VZV) should be tested for antibodies to VZV. VZV vaccination of antibody negative patients should be considered prior to commencing treatment with Gilenya, following which</w:t>
            </w:r>
            <w:r w:rsidRPr="001B3BB4">
              <w:rPr>
                <w:color w:val="0000FF"/>
                <w:szCs w:val="24"/>
              </w:rPr>
              <w:t xml:space="preserve"> </w:t>
            </w:r>
            <w:r w:rsidRPr="001B3BB4">
              <w:rPr>
                <w:color w:val="0000FF"/>
                <w:szCs w:val="24"/>
                <w:highlight w:val="yellow"/>
                <w:u w:val="single"/>
              </w:rPr>
              <w:t xml:space="preserve">Patients need to be assessed for their immunity to varicella (chickenpox) prior to Gilenya treatment. It is recommended that patients without a health care professional </w:t>
            </w:r>
            <w:r w:rsidRPr="001B3BB4">
              <w:rPr>
                <w:color w:val="0000FF"/>
                <w:szCs w:val="24"/>
                <w:highlight w:val="yellow"/>
                <w:u w:val="single"/>
              </w:rPr>
              <w:lastRenderedPageBreak/>
              <w:t xml:space="preserve">confirmed history of chickenpox or documentation of a full course of vaccination with varicella vaccine undergo antibody testing to varicella zoster virus (VZV) before initiating Gilenya therapy. A full course of vaccination for antibody-negative patients with varicella vaccine is recommended prior to commencing treatment with Gilenya </w:t>
            </w:r>
            <w:r w:rsidRPr="001B3BB4">
              <w:rPr>
                <w:color w:val="0000FF"/>
                <w:highlight w:val="yellow"/>
                <w:u w:val="single"/>
              </w:rPr>
              <w:t xml:space="preserve">(see </w:t>
            </w:r>
            <w:r w:rsidRPr="001B3BB4">
              <w:rPr>
                <w:color w:val="0000FF"/>
                <w:szCs w:val="24"/>
                <w:highlight w:val="yellow"/>
                <w:u w:val="single"/>
              </w:rPr>
              <w:t>section 7 Adverse drug reactions).</w:t>
            </w:r>
          </w:p>
          <w:p w:rsidR="00576AFC" w:rsidRDefault="001B3BB4" w:rsidP="0093466D">
            <w:pPr>
              <w:pStyle w:val="Text"/>
              <w:spacing w:before="60" w:line="240" w:lineRule="auto"/>
              <w:jc w:val="left"/>
              <w:rPr>
                <w:rFonts w:ascii="Times New Roman" w:hAnsi="Times New Roman"/>
                <w:color w:val="0000FF"/>
                <w:sz w:val="24"/>
                <w:szCs w:val="24"/>
              </w:rPr>
            </w:pPr>
            <w:r>
              <w:rPr>
                <w:rFonts w:ascii="Times New Roman" w:hAnsi="Times New Roman"/>
                <w:color w:val="0000FF"/>
                <w:sz w:val="24"/>
                <w:szCs w:val="24"/>
              </w:rPr>
              <w:t>…</w:t>
            </w:r>
          </w:p>
          <w:p w:rsidR="001B3BB4" w:rsidRPr="001B3BB4" w:rsidRDefault="001B3BB4" w:rsidP="001B3BB4">
            <w:pPr>
              <w:pStyle w:val="Text"/>
              <w:spacing w:before="240" w:after="60"/>
              <w:rPr>
                <w:rFonts w:ascii="Arial" w:eastAsia="MS Gothic" w:hAnsi="Arial"/>
                <w:b/>
                <w:color w:val="0000FF"/>
                <w:szCs w:val="24"/>
                <w:highlight w:val="yellow"/>
                <w:u w:val="single"/>
              </w:rPr>
            </w:pPr>
            <w:r w:rsidRPr="001B3BB4">
              <w:rPr>
                <w:rFonts w:ascii="Arial" w:eastAsia="MS Gothic" w:hAnsi="Arial"/>
                <w:b/>
                <w:color w:val="0000FF"/>
                <w:szCs w:val="24"/>
                <w:highlight w:val="yellow"/>
                <w:u w:val="single"/>
              </w:rPr>
              <w:t>Posterior reversible encephalopathy syndrome</w:t>
            </w:r>
          </w:p>
          <w:p w:rsidR="001B3BB4" w:rsidRDefault="001B3BB4" w:rsidP="001B3BB4">
            <w:pPr>
              <w:tabs>
                <w:tab w:val="left" w:pos="-720"/>
                <w:tab w:val="left" w:pos="0"/>
                <w:tab w:val="left" w:pos="720"/>
                <w:tab w:val="left" w:pos="1440"/>
                <w:tab w:val="left" w:pos="2160"/>
                <w:tab w:val="left" w:pos="2880"/>
                <w:tab w:val="left" w:pos="3600"/>
                <w:tab w:val="left" w:pos="4320"/>
              </w:tabs>
              <w:autoSpaceDE w:val="0"/>
              <w:autoSpaceDN w:val="0"/>
              <w:bidi w:val="0"/>
              <w:adjustRightInd w:val="0"/>
              <w:spacing w:before="120"/>
              <w:jc w:val="both"/>
              <w:rPr>
                <w:rFonts w:eastAsia="MS Mincho"/>
              </w:rPr>
            </w:pPr>
            <w:r w:rsidRPr="001B3BB4">
              <w:rPr>
                <w:color w:val="0000FF"/>
                <w:highlight w:val="yellow"/>
                <w:u w:val="single"/>
              </w:rPr>
              <w:t xml:space="preserve">Rare cases of posterior reversible encephalopathy syndrome (PRES) have been reported at 0.5 mg dose in clinical trials and in the post-marketing setting (see section 7 Adverse drug reactions). Symptoms reported included sudden onset of severe headache, nausea, vomiting, altered mental status, visual disturbances and seizure. Symptoms of PRES are usually reversible but may evolve into ischemic stroke or cerebral hemorrhage. Delay in diagnosis and treatment may lead to permanent neurological </w:t>
            </w:r>
            <w:proofErr w:type="spellStart"/>
            <w:r w:rsidRPr="001B3BB4">
              <w:rPr>
                <w:color w:val="0000FF"/>
                <w:highlight w:val="yellow"/>
                <w:u w:val="single"/>
              </w:rPr>
              <w:t>sequelae</w:t>
            </w:r>
            <w:proofErr w:type="spellEnd"/>
            <w:r w:rsidRPr="001B3BB4">
              <w:rPr>
                <w:color w:val="0000FF"/>
                <w:highlight w:val="yellow"/>
                <w:u w:val="single"/>
              </w:rPr>
              <w:t>. If PRES is suspected, Gilenya should be discontinued.</w:t>
            </w:r>
          </w:p>
          <w:p w:rsidR="001B3BB4" w:rsidRPr="00576AFC" w:rsidRDefault="001B3BB4" w:rsidP="0093466D">
            <w:pPr>
              <w:pStyle w:val="Text"/>
              <w:spacing w:before="60" w:line="240" w:lineRule="auto"/>
              <w:jc w:val="left"/>
              <w:rPr>
                <w:rFonts w:ascii="Times New Roman" w:hAnsi="Times New Roman"/>
                <w:color w:val="0000FF"/>
                <w:sz w:val="24"/>
                <w:szCs w:val="24"/>
                <w:rtl/>
              </w:rPr>
            </w:pPr>
          </w:p>
        </w:tc>
      </w:tr>
      <w:tr w:rsidR="00D80D0B" w:rsidTr="000D21B9">
        <w:trPr>
          <w:jc w:val="center"/>
        </w:trPr>
        <w:tc>
          <w:tcPr>
            <w:tcW w:w="1799" w:type="dxa"/>
          </w:tcPr>
          <w:p w:rsidR="00D80D0B" w:rsidRPr="006804B9" w:rsidRDefault="00F012FD" w:rsidP="00950344">
            <w:pPr>
              <w:bidi w:val="0"/>
              <w:rPr>
                <w:b/>
                <w:bCs/>
                <w:sz w:val="22"/>
                <w:szCs w:val="22"/>
                <w:rtl/>
              </w:rPr>
            </w:pPr>
            <w:r>
              <w:rPr>
                <w:b/>
                <w:bCs/>
                <w:lang w:val="en-GB"/>
              </w:rPr>
              <w:lastRenderedPageBreak/>
              <w:t>Adverse drug reactions</w:t>
            </w:r>
          </w:p>
        </w:tc>
        <w:tc>
          <w:tcPr>
            <w:tcW w:w="4111" w:type="dxa"/>
          </w:tcPr>
          <w:p w:rsidR="00F03163" w:rsidRDefault="002C55D2" w:rsidP="00F03163">
            <w:pPr>
              <w:pStyle w:val="Text"/>
              <w:spacing w:before="0" w:line="240" w:lineRule="auto"/>
              <w:jc w:val="left"/>
              <w:rPr>
                <w:color w:val="0000FF"/>
                <w:szCs w:val="24"/>
              </w:rPr>
            </w:pPr>
            <w:r>
              <w:rPr>
                <w:szCs w:val="24"/>
              </w:rPr>
              <w:t xml:space="preserve">The most frequent ADRs (incidence ≥10%) at the 0.5 mg dose were headache, influenza, </w:t>
            </w:r>
            <w:proofErr w:type="spellStart"/>
            <w:r>
              <w:rPr>
                <w:szCs w:val="24"/>
              </w:rPr>
              <w:t>diarrhea</w:t>
            </w:r>
            <w:proofErr w:type="spellEnd"/>
            <w:r>
              <w:rPr>
                <w:szCs w:val="24"/>
              </w:rPr>
              <w:t>, back pain, liver enzyme elevations and cough</w:t>
            </w:r>
            <w:r>
              <w:rPr>
                <w:color w:val="0000FF"/>
                <w:szCs w:val="24"/>
              </w:rPr>
              <w:t>.</w:t>
            </w:r>
          </w:p>
          <w:p w:rsidR="0086535B" w:rsidRPr="0086535B" w:rsidRDefault="0086535B" w:rsidP="00F03163">
            <w:pPr>
              <w:pStyle w:val="Text"/>
              <w:spacing w:before="0" w:line="240" w:lineRule="auto"/>
              <w:jc w:val="left"/>
              <w:rPr>
                <w:szCs w:val="24"/>
              </w:rPr>
            </w:pPr>
          </w:p>
          <w:p w:rsidR="0086535B" w:rsidRDefault="0086535B" w:rsidP="00F03163">
            <w:pPr>
              <w:pStyle w:val="Text"/>
              <w:spacing w:before="0" w:line="240" w:lineRule="auto"/>
              <w:jc w:val="left"/>
              <w:rPr>
                <w:szCs w:val="24"/>
              </w:rPr>
            </w:pPr>
            <w:r w:rsidRPr="0086535B">
              <w:rPr>
                <w:szCs w:val="24"/>
              </w:rPr>
              <w:t>…</w:t>
            </w:r>
          </w:p>
          <w:p w:rsidR="0086535B" w:rsidRDefault="0086535B" w:rsidP="00F03163">
            <w:pPr>
              <w:pStyle w:val="Text"/>
              <w:spacing w:before="0" w:line="240" w:lineRule="auto"/>
              <w:jc w:val="left"/>
              <w:rPr>
                <w:rFonts w:cs="Arial"/>
                <w:b/>
                <w:bCs/>
                <w:szCs w:val="22"/>
              </w:rPr>
            </w:pPr>
            <w:bookmarkStart w:id="1" w:name="_Toc276652164"/>
            <w:bookmarkStart w:id="2" w:name="_Toc276552456"/>
            <w:r w:rsidRPr="00184809">
              <w:rPr>
                <w:rFonts w:cs="Arial"/>
                <w:b/>
                <w:bCs/>
                <w:szCs w:val="22"/>
              </w:rPr>
              <w:t xml:space="preserve">Table </w:t>
            </w:r>
            <w:r w:rsidRPr="00184809">
              <w:rPr>
                <w:b/>
                <w:bCs/>
              </w:rPr>
              <w:fldChar w:fldCharType="begin"/>
            </w:r>
            <w:r w:rsidRPr="00184809">
              <w:rPr>
                <w:b/>
                <w:bCs/>
              </w:rPr>
              <w:instrText xml:space="preserve"> STYLEREF "1" \n  \* MERGEFORMAT </w:instrText>
            </w:r>
            <w:r w:rsidRPr="00184809">
              <w:rPr>
                <w:b/>
                <w:bCs/>
              </w:rPr>
              <w:fldChar w:fldCharType="separate"/>
            </w:r>
            <w:r w:rsidR="004339EB" w:rsidRPr="004339EB">
              <w:rPr>
                <w:rFonts w:cs="Arial" w:hint="eastAsia"/>
                <w:b/>
                <w:bCs/>
                <w:noProof/>
                <w:szCs w:val="22"/>
                <w:rtl/>
              </w:rPr>
              <w:t>‏</w:t>
            </w:r>
            <w:r w:rsidR="004339EB" w:rsidRPr="004339EB">
              <w:rPr>
                <w:rFonts w:cs="Arial"/>
                <w:b/>
                <w:bCs/>
                <w:noProof/>
                <w:szCs w:val="22"/>
                <w:rtl/>
              </w:rPr>
              <w:t>0</w:t>
            </w:r>
            <w:r w:rsidRPr="00184809">
              <w:rPr>
                <w:rFonts w:cs="Arial"/>
                <w:b/>
                <w:bCs/>
                <w:noProof/>
                <w:szCs w:val="22"/>
              </w:rPr>
              <w:fldChar w:fldCharType="end"/>
            </w:r>
            <w:r w:rsidRPr="00184809">
              <w:rPr>
                <w:rFonts w:cs="Arial"/>
                <w:b/>
                <w:bCs/>
                <w:szCs w:val="22"/>
              </w:rPr>
              <w:t>-</w:t>
            </w:r>
            <w:r w:rsidRPr="00184809">
              <w:rPr>
                <w:b/>
                <w:bCs/>
              </w:rPr>
              <w:fldChar w:fldCharType="begin"/>
            </w:r>
            <w:r w:rsidRPr="00184809">
              <w:rPr>
                <w:b/>
                <w:bCs/>
              </w:rPr>
              <w:instrText xml:space="preserve">  SEQ Table \s 1 \* ARABIC  \* MERGEFORMAT </w:instrText>
            </w:r>
            <w:r w:rsidRPr="00184809">
              <w:rPr>
                <w:b/>
                <w:bCs/>
              </w:rPr>
              <w:fldChar w:fldCharType="separate"/>
            </w:r>
            <w:r w:rsidR="004339EB" w:rsidRPr="004339EB">
              <w:rPr>
                <w:rFonts w:cs="Arial"/>
                <w:b/>
                <w:bCs/>
                <w:noProof/>
                <w:szCs w:val="22"/>
              </w:rPr>
              <w:t>1</w:t>
            </w:r>
            <w:r w:rsidRPr="00184809">
              <w:rPr>
                <w:rFonts w:cs="Arial"/>
                <w:b/>
                <w:bCs/>
                <w:noProof/>
                <w:szCs w:val="22"/>
              </w:rPr>
              <w:fldChar w:fldCharType="end"/>
            </w:r>
            <w:r w:rsidRPr="00184809">
              <w:rPr>
                <w:rFonts w:cs="Arial"/>
                <w:b/>
                <w:bCs/>
                <w:szCs w:val="22"/>
              </w:rPr>
              <w:tab/>
              <w:t>ADRs occurring in ≥1% of patients in Study 1, and reported for Gilenya 0.5 mg at ≥1% higher rate than for placebo</w:t>
            </w:r>
            <w:bookmarkEnd w:id="1"/>
            <w:bookmarkEnd w:id="2"/>
          </w:p>
          <w:p w:rsidR="00184809" w:rsidRPr="00184809" w:rsidRDefault="00184809" w:rsidP="00184809">
            <w:pPr>
              <w:pStyle w:val="Text"/>
              <w:rPr>
                <w:rFonts w:ascii="Times New Roman" w:hAnsi="Times New Roman"/>
                <w:b/>
                <w:bCs/>
                <w:sz w:val="24"/>
                <w:szCs w:val="24"/>
              </w:rPr>
            </w:pPr>
            <w:r w:rsidRPr="00184809">
              <w:rPr>
                <w:rFonts w:ascii="Times New Roman" w:hAnsi="Times New Roman"/>
                <w:b/>
                <w:bCs/>
                <w:sz w:val="24"/>
                <w:szCs w:val="24"/>
              </w:rPr>
              <w:t>Infections</w:t>
            </w:r>
          </w:p>
          <w:p w:rsidR="00184809" w:rsidRDefault="00184809" w:rsidP="00184809">
            <w:pPr>
              <w:pStyle w:val="Text"/>
              <w:spacing w:before="0" w:line="240" w:lineRule="auto"/>
              <w:jc w:val="left"/>
              <w:rPr>
                <w:rFonts w:ascii="Times New Roman" w:hAnsi="Times New Roman"/>
                <w:sz w:val="24"/>
                <w:szCs w:val="24"/>
              </w:rPr>
            </w:pPr>
            <w:r w:rsidRPr="00184809">
              <w:rPr>
                <w:rFonts w:ascii="Times New Roman" w:hAnsi="Times New Roman"/>
                <w:sz w:val="24"/>
                <w:szCs w:val="24"/>
              </w:rPr>
              <w:t>Sinusitis: common</w:t>
            </w:r>
          </w:p>
          <w:p w:rsidR="00184809" w:rsidRDefault="00184809" w:rsidP="00184809">
            <w:pPr>
              <w:pStyle w:val="Text"/>
              <w:spacing w:before="0" w:line="240" w:lineRule="auto"/>
              <w:jc w:val="left"/>
              <w:rPr>
                <w:rFonts w:ascii="Times New Roman" w:hAnsi="Times New Roman"/>
                <w:sz w:val="24"/>
                <w:szCs w:val="24"/>
              </w:rPr>
            </w:pPr>
          </w:p>
          <w:p w:rsidR="00184809" w:rsidRDefault="00184809" w:rsidP="00184809">
            <w:pPr>
              <w:pStyle w:val="Text"/>
              <w:spacing w:before="0" w:line="240" w:lineRule="auto"/>
              <w:jc w:val="left"/>
              <w:rPr>
                <w:rFonts w:ascii="Times New Roman" w:hAnsi="Times New Roman"/>
                <w:sz w:val="24"/>
                <w:szCs w:val="24"/>
              </w:rPr>
            </w:pPr>
          </w:p>
          <w:p w:rsidR="00184809" w:rsidRDefault="00184809" w:rsidP="00184809">
            <w:pPr>
              <w:pStyle w:val="Text"/>
              <w:spacing w:before="0" w:line="240" w:lineRule="auto"/>
              <w:jc w:val="left"/>
              <w:rPr>
                <w:rFonts w:ascii="Times New Roman" w:hAnsi="Times New Roman"/>
                <w:sz w:val="24"/>
                <w:szCs w:val="24"/>
              </w:rPr>
            </w:pPr>
          </w:p>
          <w:p w:rsidR="00184809" w:rsidRDefault="00184809" w:rsidP="00184809">
            <w:pPr>
              <w:pStyle w:val="Text"/>
              <w:spacing w:before="0" w:line="240" w:lineRule="auto"/>
              <w:jc w:val="left"/>
              <w:rPr>
                <w:rFonts w:ascii="Times New Roman" w:hAnsi="Times New Roman"/>
                <w:sz w:val="24"/>
                <w:szCs w:val="24"/>
              </w:rPr>
            </w:pPr>
          </w:p>
          <w:p w:rsidR="00184809" w:rsidRPr="00184809" w:rsidRDefault="00184809" w:rsidP="00184809">
            <w:pPr>
              <w:pStyle w:val="Text"/>
              <w:rPr>
                <w:rFonts w:ascii="Times New Roman" w:hAnsi="Times New Roman"/>
                <w:b/>
                <w:bCs/>
                <w:sz w:val="24"/>
                <w:szCs w:val="24"/>
              </w:rPr>
            </w:pPr>
            <w:r w:rsidRPr="00184809">
              <w:rPr>
                <w:rFonts w:ascii="Times New Roman" w:hAnsi="Times New Roman"/>
                <w:b/>
                <w:bCs/>
                <w:sz w:val="24"/>
                <w:szCs w:val="24"/>
              </w:rPr>
              <w:t>Investigations</w:t>
            </w:r>
          </w:p>
          <w:p w:rsidR="00184809" w:rsidRDefault="00184809" w:rsidP="00184809">
            <w:pPr>
              <w:pStyle w:val="Text"/>
              <w:spacing w:before="0" w:line="240" w:lineRule="auto"/>
              <w:jc w:val="left"/>
              <w:rPr>
                <w:rFonts w:ascii="Times New Roman" w:hAnsi="Times New Roman"/>
                <w:sz w:val="24"/>
                <w:szCs w:val="24"/>
              </w:rPr>
            </w:pPr>
            <w:r w:rsidRPr="00184809">
              <w:rPr>
                <w:rFonts w:ascii="Times New Roman" w:hAnsi="Times New Roman"/>
                <w:sz w:val="24"/>
                <w:szCs w:val="24"/>
              </w:rPr>
              <w:t>Hepatic enzyme increased</w:t>
            </w:r>
            <w:r>
              <w:rPr>
                <w:rFonts w:ascii="Times New Roman" w:hAnsi="Times New Roman"/>
                <w:sz w:val="24"/>
                <w:szCs w:val="24"/>
              </w:rPr>
              <w:t>: common</w:t>
            </w:r>
          </w:p>
          <w:p w:rsidR="00DE4189" w:rsidRDefault="00DE4189" w:rsidP="00184809">
            <w:pPr>
              <w:pStyle w:val="Text"/>
              <w:spacing w:before="0" w:line="240" w:lineRule="auto"/>
              <w:jc w:val="left"/>
              <w:rPr>
                <w:rFonts w:ascii="Times New Roman" w:hAnsi="Times New Roman"/>
                <w:sz w:val="24"/>
                <w:szCs w:val="24"/>
              </w:rPr>
            </w:pPr>
          </w:p>
          <w:p w:rsidR="00DE4189" w:rsidRPr="00F57E0E" w:rsidRDefault="00DE4189" w:rsidP="00DE4189">
            <w:pPr>
              <w:pStyle w:val="Nottoc-headings"/>
              <w:rPr>
                <w:rFonts w:cs="Arial"/>
              </w:rPr>
            </w:pPr>
            <w:r w:rsidRPr="00F57E0E">
              <w:rPr>
                <w:rFonts w:cs="Arial"/>
              </w:rPr>
              <w:t>Infections</w:t>
            </w:r>
          </w:p>
          <w:p w:rsidR="00DE4189" w:rsidRPr="00FD27F6" w:rsidRDefault="00DE4189" w:rsidP="00DE4189">
            <w:pPr>
              <w:pStyle w:val="Text"/>
              <w:rPr>
                <w:szCs w:val="24"/>
              </w:rPr>
            </w:pPr>
            <w:r w:rsidRPr="00FD27F6">
              <w:rPr>
                <w:szCs w:val="24"/>
              </w:rPr>
              <w:t xml:space="preserve">In multiple sclerosis clinical trials, the overall rate of infections (72%) and </w:t>
            </w:r>
            <w:r w:rsidRPr="00FD27F6">
              <w:rPr>
                <w:szCs w:val="24"/>
              </w:rPr>
              <w:lastRenderedPageBreak/>
              <w:t>serious infections (2%) at the 0.5 mg dose was similar to placebo</w:t>
            </w:r>
            <w:r w:rsidRPr="00FD27F6">
              <w:rPr>
                <w:color w:val="0000FF"/>
                <w:szCs w:val="24"/>
              </w:rPr>
              <w:t>.</w:t>
            </w:r>
            <w:r w:rsidRPr="00FD27F6">
              <w:rPr>
                <w:szCs w:val="24"/>
              </w:rPr>
              <w:t xml:space="preserve"> However, lower respiratory tract infections, bronchitis and pneumonia, were more common in Gilenya treated patients</w:t>
            </w:r>
            <w:r w:rsidRPr="00FD27F6">
              <w:rPr>
                <w:color w:val="0000FF"/>
                <w:szCs w:val="24"/>
              </w:rPr>
              <w:t>.</w:t>
            </w:r>
          </w:p>
          <w:p w:rsidR="00C44143" w:rsidRDefault="00C44143" w:rsidP="00DE4189">
            <w:pPr>
              <w:pStyle w:val="Text"/>
              <w:rPr>
                <w:szCs w:val="24"/>
              </w:rPr>
            </w:pPr>
          </w:p>
          <w:p w:rsidR="00C44143" w:rsidRDefault="00C44143" w:rsidP="00DE4189">
            <w:pPr>
              <w:pStyle w:val="Text"/>
              <w:rPr>
                <w:szCs w:val="24"/>
              </w:rPr>
            </w:pPr>
          </w:p>
          <w:p w:rsidR="00C44143" w:rsidRDefault="00C44143" w:rsidP="00DE4189">
            <w:pPr>
              <w:pStyle w:val="Text"/>
              <w:rPr>
                <w:szCs w:val="24"/>
              </w:rPr>
            </w:pPr>
          </w:p>
          <w:p w:rsidR="00C44143" w:rsidRDefault="00C44143" w:rsidP="00DE4189">
            <w:pPr>
              <w:pStyle w:val="Text"/>
              <w:rPr>
                <w:szCs w:val="24"/>
              </w:rPr>
            </w:pPr>
          </w:p>
          <w:p w:rsidR="00C44143" w:rsidRDefault="00C44143" w:rsidP="00DE4189">
            <w:pPr>
              <w:pStyle w:val="Text"/>
              <w:rPr>
                <w:szCs w:val="24"/>
              </w:rPr>
            </w:pPr>
          </w:p>
          <w:p w:rsidR="00C44143" w:rsidRDefault="00C44143" w:rsidP="00DE4189">
            <w:pPr>
              <w:pStyle w:val="Text"/>
              <w:rPr>
                <w:szCs w:val="24"/>
              </w:rPr>
            </w:pPr>
          </w:p>
          <w:p w:rsidR="00C44143" w:rsidRDefault="00C44143" w:rsidP="00DE4189">
            <w:pPr>
              <w:pStyle w:val="Text"/>
              <w:rPr>
                <w:szCs w:val="24"/>
              </w:rPr>
            </w:pPr>
          </w:p>
          <w:p w:rsidR="00C44143" w:rsidRDefault="00C44143" w:rsidP="00DE4189">
            <w:pPr>
              <w:pStyle w:val="Text"/>
              <w:rPr>
                <w:szCs w:val="24"/>
              </w:rPr>
            </w:pPr>
          </w:p>
          <w:p w:rsidR="00C44143" w:rsidRDefault="00C44143" w:rsidP="00DE4189">
            <w:pPr>
              <w:pStyle w:val="Text"/>
              <w:rPr>
                <w:szCs w:val="24"/>
              </w:rPr>
            </w:pPr>
          </w:p>
          <w:p w:rsidR="00C44143" w:rsidRDefault="00C44143" w:rsidP="00DE4189">
            <w:pPr>
              <w:pStyle w:val="Text"/>
              <w:rPr>
                <w:szCs w:val="24"/>
              </w:rPr>
            </w:pPr>
          </w:p>
          <w:p w:rsidR="00C44143" w:rsidRDefault="00C44143" w:rsidP="00DE4189">
            <w:pPr>
              <w:pStyle w:val="Text"/>
              <w:rPr>
                <w:szCs w:val="24"/>
              </w:rPr>
            </w:pPr>
          </w:p>
          <w:p w:rsidR="00C44143" w:rsidRDefault="00C44143" w:rsidP="00DE4189">
            <w:pPr>
              <w:pStyle w:val="Text"/>
              <w:rPr>
                <w:szCs w:val="24"/>
              </w:rPr>
            </w:pPr>
          </w:p>
          <w:p w:rsidR="00C44143" w:rsidRDefault="00C44143" w:rsidP="00DE4189">
            <w:pPr>
              <w:pStyle w:val="Text"/>
              <w:rPr>
                <w:szCs w:val="24"/>
              </w:rPr>
            </w:pPr>
          </w:p>
          <w:p w:rsidR="00C44143" w:rsidRDefault="00C44143" w:rsidP="00DE4189">
            <w:pPr>
              <w:pStyle w:val="Text"/>
              <w:rPr>
                <w:szCs w:val="24"/>
              </w:rPr>
            </w:pPr>
          </w:p>
          <w:p w:rsidR="00C44143" w:rsidRDefault="00C44143" w:rsidP="00DE4189">
            <w:pPr>
              <w:pStyle w:val="Text"/>
              <w:rPr>
                <w:szCs w:val="24"/>
              </w:rPr>
            </w:pPr>
          </w:p>
          <w:p w:rsidR="00C44143" w:rsidRDefault="00C44143" w:rsidP="00DE4189">
            <w:pPr>
              <w:pStyle w:val="Text"/>
              <w:rPr>
                <w:szCs w:val="24"/>
              </w:rPr>
            </w:pPr>
          </w:p>
          <w:p w:rsidR="00DE4189" w:rsidRPr="00FD27F6" w:rsidRDefault="00DE4189" w:rsidP="00DE4189">
            <w:pPr>
              <w:pStyle w:val="Text"/>
              <w:rPr>
                <w:szCs w:val="24"/>
              </w:rPr>
            </w:pPr>
            <w:r w:rsidRPr="00FD27F6">
              <w:rPr>
                <w:szCs w:val="24"/>
              </w:rPr>
              <w:t>Two serious cases of disseminated herpes infection which were fatal have occurred on the 1.25 mg dose; a case of herpes encephalitis in a patient in whom initiation of acyclovir therapy was delayed by one week and a case of a primary disseminated varicella zoster infection in a patient not previously exposed to varicella receiving concomitant high-dose steroid therapy for a multiple sclerosis relapse.</w:t>
            </w:r>
          </w:p>
          <w:p w:rsidR="006B74C8" w:rsidRPr="00F57E0E" w:rsidRDefault="006B74C8" w:rsidP="006B74C8">
            <w:pPr>
              <w:pStyle w:val="Nottoc-headings"/>
              <w:rPr>
                <w:rFonts w:cs="Arial"/>
              </w:rPr>
            </w:pPr>
            <w:r w:rsidRPr="00F57E0E">
              <w:rPr>
                <w:rFonts w:cs="Arial"/>
              </w:rPr>
              <w:t xml:space="preserve">Macular </w:t>
            </w:r>
            <w:proofErr w:type="spellStart"/>
            <w:r w:rsidRPr="00F57E0E">
              <w:rPr>
                <w:rFonts w:cs="Arial"/>
              </w:rPr>
              <w:t>Edema</w:t>
            </w:r>
            <w:proofErr w:type="spellEnd"/>
          </w:p>
          <w:p w:rsidR="006B74C8" w:rsidRPr="00FD27F6" w:rsidRDefault="006B74C8" w:rsidP="006B74C8">
            <w:pPr>
              <w:pStyle w:val="Text"/>
              <w:rPr>
                <w:szCs w:val="24"/>
              </w:rPr>
            </w:pPr>
            <w:r w:rsidRPr="00FD27F6">
              <w:rPr>
                <w:szCs w:val="24"/>
              </w:rPr>
              <w:t xml:space="preserve">In clinical trials, macular </w:t>
            </w:r>
            <w:proofErr w:type="spellStart"/>
            <w:r w:rsidRPr="00FD27F6">
              <w:rPr>
                <w:szCs w:val="24"/>
              </w:rPr>
              <w:t>edema</w:t>
            </w:r>
            <w:proofErr w:type="spellEnd"/>
            <w:r w:rsidRPr="00FD27F6">
              <w:rPr>
                <w:szCs w:val="24"/>
              </w:rPr>
              <w:t xml:space="preserve"> occurred in </w:t>
            </w:r>
            <w:r w:rsidRPr="006B74C8">
              <w:rPr>
                <w:szCs w:val="24"/>
              </w:rPr>
              <w:t>0.4%</w:t>
            </w:r>
            <w:r w:rsidRPr="00FD27F6">
              <w:rPr>
                <w:szCs w:val="24"/>
              </w:rPr>
              <w:t xml:space="preserve"> of patients treated with the recommended Gilenya dose of 0.5 mg and in 1.1% of patients treated with the higher 1.25 mg dose</w:t>
            </w:r>
            <w:r w:rsidRPr="00FD27F6">
              <w:rPr>
                <w:color w:val="0000FF"/>
                <w:szCs w:val="24"/>
              </w:rPr>
              <w:t>.</w:t>
            </w:r>
          </w:p>
          <w:p w:rsidR="00DE4189" w:rsidRDefault="00D72F42" w:rsidP="00184809">
            <w:pPr>
              <w:pStyle w:val="Text"/>
              <w:spacing w:before="0" w:line="240" w:lineRule="auto"/>
              <w:jc w:val="left"/>
              <w:rPr>
                <w:rFonts w:ascii="Times New Roman" w:hAnsi="Times New Roman"/>
                <w:sz w:val="24"/>
                <w:szCs w:val="24"/>
              </w:rPr>
            </w:pPr>
            <w:r>
              <w:rPr>
                <w:rFonts w:ascii="Times New Roman" w:hAnsi="Times New Roman"/>
                <w:sz w:val="24"/>
                <w:szCs w:val="24"/>
              </w:rPr>
              <w:t>…</w:t>
            </w:r>
          </w:p>
          <w:p w:rsidR="00D72F42" w:rsidRPr="00D72F42" w:rsidRDefault="00D72F42" w:rsidP="00D72F42">
            <w:pPr>
              <w:bidi w:val="0"/>
              <w:rPr>
                <w:rFonts w:ascii="Arial" w:eastAsia="MS Mincho" w:hAnsi="Arial" w:cs="Arial"/>
                <w:b/>
                <w:bCs/>
                <w:sz w:val="22"/>
                <w:szCs w:val="22"/>
                <w:lang w:eastAsia="ja-JP" w:bidi="ar-SA"/>
              </w:rPr>
            </w:pPr>
            <w:r w:rsidRPr="00D72F42">
              <w:rPr>
                <w:rFonts w:ascii="Arial" w:eastAsia="MS Mincho" w:hAnsi="Arial" w:cs="Arial"/>
                <w:b/>
                <w:bCs/>
                <w:sz w:val="22"/>
                <w:szCs w:val="22"/>
                <w:lang w:val="en-GB" w:eastAsia="ja-JP" w:bidi="ar-SA"/>
              </w:rPr>
              <w:t>Blood pressure</w:t>
            </w:r>
          </w:p>
          <w:p w:rsidR="00D72F42" w:rsidRPr="00D72F42" w:rsidRDefault="00D72F42" w:rsidP="00D72F42">
            <w:pPr>
              <w:bidi w:val="0"/>
              <w:spacing w:before="120"/>
              <w:jc w:val="both"/>
              <w:rPr>
                <w:rFonts w:eastAsia="MS Mincho" w:cs="Times New Roman"/>
                <w:lang w:val="en-GB" w:eastAsia="ja-JP" w:bidi="ar-SA"/>
              </w:rPr>
            </w:pPr>
            <w:r w:rsidRPr="00D72F42">
              <w:rPr>
                <w:rFonts w:eastAsia="MS Mincho" w:cs="Times New Roman"/>
                <w:lang w:val="en-GB" w:eastAsia="ja-JP" w:bidi="ar-SA"/>
              </w:rPr>
              <w:t>Hypertension was reported in 6.1% of patients on Gilenya 0.5 mg and in 3.8 % of patients on placebo</w:t>
            </w:r>
            <w:r w:rsidRPr="00D72F42">
              <w:rPr>
                <w:rFonts w:eastAsia="MS Mincho" w:cs="Times New Roman"/>
                <w:color w:val="0000FF"/>
                <w:lang w:val="en-GB" w:eastAsia="ja-JP" w:bidi="ar-SA"/>
              </w:rPr>
              <w:t>.</w:t>
            </w:r>
          </w:p>
          <w:p w:rsidR="00D72F42" w:rsidRDefault="00124F2C" w:rsidP="00184809">
            <w:pPr>
              <w:pStyle w:val="Text"/>
              <w:spacing w:before="0" w:line="240" w:lineRule="auto"/>
              <w:jc w:val="left"/>
              <w:rPr>
                <w:rFonts w:ascii="Times New Roman" w:hAnsi="Times New Roman"/>
                <w:sz w:val="24"/>
                <w:szCs w:val="24"/>
              </w:rPr>
            </w:pPr>
            <w:r>
              <w:rPr>
                <w:rFonts w:ascii="Times New Roman" w:hAnsi="Times New Roman"/>
                <w:sz w:val="24"/>
                <w:szCs w:val="24"/>
              </w:rPr>
              <w:t>…</w:t>
            </w:r>
          </w:p>
          <w:p w:rsidR="00BE6E66" w:rsidRDefault="00BE6E66" w:rsidP="00184809">
            <w:pPr>
              <w:pStyle w:val="Text"/>
              <w:spacing w:before="0" w:line="240" w:lineRule="auto"/>
              <w:jc w:val="left"/>
              <w:rPr>
                <w:rFonts w:ascii="Times New Roman" w:hAnsi="Times New Roman"/>
                <w:sz w:val="24"/>
                <w:szCs w:val="24"/>
              </w:rPr>
            </w:pPr>
          </w:p>
          <w:p w:rsidR="00124F2C" w:rsidRPr="00F57E0E" w:rsidRDefault="00124F2C" w:rsidP="00124F2C">
            <w:pPr>
              <w:pStyle w:val="Nottoc-headings"/>
              <w:rPr>
                <w:rFonts w:cs="Arial"/>
              </w:rPr>
            </w:pPr>
            <w:r w:rsidRPr="00F57E0E">
              <w:rPr>
                <w:rFonts w:cs="Arial"/>
              </w:rPr>
              <w:lastRenderedPageBreak/>
              <w:t>Lymphomas</w:t>
            </w:r>
          </w:p>
          <w:p w:rsidR="00124F2C" w:rsidRPr="00FD27F6" w:rsidRDefault="00124F2C" w:rsidP="00124F2C">
            <w:pPr>
              <w:pStyle w:val="Text"/>
              <w:rPr>
                <w:szCs w:val="24"/>
              </w:rPr>
            </w:pPr>
            <w:r w:rsidRPr="00FD27F6">
              <w:rPr>
                <w:szCs w:val="24"/>
              </w:rPr>
              <w:t xml:space="preserve">Cases of lymphoma (cutaneous T-cell </w:t>
            </w:r>
            <w:proofErr w:type="spellStart"/>
            <w:r w:rsidRPr="00FD27F6">
              <w:rPr>
                <w:szCs w:val="24"/>
              </w:rPr>
              <w:t>lymphoproliferative</w:t>
            </w:r>
            <w:proofErr w:type="spellEnd"/>
            <w:r w:rsidRPr="00FD27F6">
              <w:rPr>
                <w:szCs w:val="24"/>
              </w:rPr>
              <w:t xml:space="preserve"> disorders or diffuse B-cell lymphoma) were reported in premarketing clinical trials in MS patients receiving Gilenya at, or above, the recommended dose of 0.5 mg. Based on the small number of reported cases and short duration of exposure, the relationship to Gilenya remains uncertain.</w:t>
            </w:r>
          </w:p>
          <w:p w:rsidR="00124F2C" w:rsidRPr="00184809" w:rsidRDefault="00124F2C" w:rsidP="00184809">
            <w:pPr>
              <w:pStyle w:val="Text"/>
              <w:spacing w:before="0" w:line="240" w:lineRule="auto"/>
              <w:jc w:val="left"/>
              <w:rPr>
                <w:rFonts w:ascii="Times New Roman" w:hAnsi="Times New Roman"/>
                <w:sz w:val="24"/>
                <w:szCs w:val="24"/>
                <w:rtl/>
              </w:rPr>
            </w:pPr>
          </w:p>
        </w:tc>
        <w:tc>
          <w:tcPr>
            <w:tcW w:w="4437" w:type="dxa"/>
          </w:tcPr>
          <w:p w:rsidR="00F03163" w:rsidRDefault="002C55D2" w:rsidP="000D21B9">
            <w:pPr>
              <w:pStyle w:val="Text"/>
              <w:spacing w:before="60"/>
              <w:jc w:val="left"/>
              <w:rPr>
                <w:color w:val="0000FF"/>
                <w:szCs w:val="24"/>
              </w:rPr>
            </w:pPr>
            <w:r>
              <w:rPr>
                <w:szCs w:val="24"/>
              </w:rPr>
              <w:lastRenderedPageBreak/>
              <w:t xml:space="preserve">The most frequent ADRs (incidence ≥10%) at the 0.5 mg dose were headache, </w:t>
            </w:r>
            <w:r w:rsidRPr="002C55D2">
              <w:rPr>
                <w:color w:val="0000FF"/>
                <w:u w:val="single"/>
              </w:rPr>
              <w:t xml:space="preserve">hepatic enzyme increased, diarrhoea, cough, </w:t>
            </w:r>
            <w:r>
              <w:rPr>
                <w:szCs w:val="24"/>
              </w:rPr>
              <w:t xml:space="preserve">influenza, </w:t>
            </w:r>
            <w:r w:rsidRPr="002C55D2">
              <w:rPr>
                <w:color w:val="0000FF"/>
                <w:szCs w:val="24"/>
                <w:highlight w:val="yellow"/>
                <w:u w:val="single"/>
              </w:rPr>
              <w:t>sinusitis</w:t>
            </w:r>
            <w:r>
              <w:rPr>
                <w:color w:val="0000FF"/>
                <w:szCs w:val="24"/>
                <w:u w:val="single"/>
              </w:rPr>
              <w:t xml:space="preserve"> </w:t>
            </w:r>
            <w:proofErr w:type="spellStart"/>
            <w:r w:rsidRPr="002C55D2">
              <w:rPr>
                <w:strike/>
                <w:color w:val="0000FF"/>
                <w:szCs w:val="24"/>
              </w:rPr>
              <w:t>diarrhea</w:t>
            </w:r>
            <w:proofErr w:type="spellEnd"/>
            <w:r w:rsidRPr="002C55D2">
              <w:rPr>
                <w:strike/>
                <w:color w:val="0000FF"/>
                <w:szCs w:val="24"/>
              </w:rPr>
              <w:t>,</w:t>
            </w:r>
            <w:r w:rsidRPr="002C55D2">
              <w:rPr>
                <w:color w:val="0000FF"/>
                <w:szCs w:val="24"/>
                <w:u w:val="single"/>
              </w:rPr>
              <w:t xml:space="preserve"> and</w:t>
            </w:r>
            <w:r w:rsidRPr="002C55D2">
              <w:rPr>
                <w:color w:val="0000FF"/>
                <w:szCs w:val="24"/>
              </w:rPr>
              <w:t xml:space="preserve"> </w:t>
            </w:r>
            <w:r>
              <w:rPr>
                <w:szCs w:val="24"/>
              </w:rPr>
              <w:t>back pain</w:t>
            </w:r>
            <w:r w:rsidRPr="002C55D2">
              <w:rPr>
                <w:strike/>
                <w:color w:val="0000FF"/>
                <w:szCs w:val="24"/>
              </w:rPr>
              <w:t>, liver enzyme elevations and cough</w:t>
            </w:r>
            <w:r>
              <w:rPr>
                <w:color w:val="0000FF"/>
                <w:szCs w:val="24"/>
              </w:rPr>
              <w:t>.</w:t>
            </w:r>
          </w:p>
          <w:p w:rsidR="001E06D6" w:rsidRPr="001E06D6" w:rsidRDefault="001E06D6" w:rsidP="000D21B9">
            <w:pPr>
              <w:pStyle w:val="Text"/>
              <w:spacing w:before="60"/>
              <w:jc w:val="left"/>
              <w:rPr>
                <w:szCs w:val="24"/>
              </w:rPr>
            </w:pPr>
            <w:r w:rsidRPr="001E06D6">
              <w:rPr>
                <w:szCs w:val="24"/>
              </w:rPr>
              <w:t>…</w:t>
            </w:r>
          </w:p>
          <w:p w:rsidR="001E06D6" w:rsidRPr="00184809" w:rsidRDefault="001E06D6" w:rsidP="001E06D6">
            <w:pPr>
              <w:bidi w:val="0"/>
              <w:rPr>
                <w:b/>
                <w:bCs/>
                <w:color w:val="0000FF"/>
                <w:u w:val="single"/>
                <w:lang w:eastAsia="en-US"/>
              </w:rPr>
            </w:pPr>
            <w:bookmarkStart w:id="3" w:name="_Toc365904471"/>
            <w:r w:rsidRPr="00184809">
              <w:rPr>
                <w:b/>
                <w:bCs/>
                <w:color w:val="0000FF"/>
                <w:u w:val="single"/>
              </w:rPr>
              <w:t xml:space="preserve">Table </w:t>
            </w:r>
            <w:r w:rsidRPr="00184809">
              <w:rPr>
                <w:b/>
                <w:bCs/>
                <w:color w:val="0000FF"/>
                <w:u w:val="single"/>
              </w:rPr>
              <w:fldChar w:fldCharType="begin"/>
            </w:r>
            <w:r w:rsidRPr="00184809">
              <w:rPr>
                <w:b/>
                <w:bCs/>
                <w:color w:val="0000FF"/>
                <w:u w:val="single"/>
              </w:rPr>
              <w:instrText xml:space="preserve"> STYLEREF "1" \n  \* MERGEFORMAT </w:instrText>
            </w:r>
            <w:r w:rsidRPr="00184809">
              <w:rPr>
                <w:b/>
                <w:bCs/>
                <w:color w:val="0000FF"/>
                <w:u w:val="single"/>
              </w:rPr>
              <w:fldChar w:fldCharType="separate"/>
            </w:r>
            <w:r w:rsidR="004339EB">
              <w:rPr>
                <w:b/>
                <w:bCs/>
                <w:noProof/>
                <w:color w:val="0000FF"/>
                <w:u w:val="single"/>
                <w:rtl/>
              </w:rPr>
              <w:t>‏0</w:t>
            </w:r>
            <w:r w:rsidRPr="00184809">
              <w:rPr>
                <w:b/>
                <w:bCs/>
                <w:color w:val="0000FF"/>
                <w:u w:val="single"/>
              </w:rPr>
              <w:fldChar w:fldCharType="end"/>
            </w:r>
            <w:r w:rsidRPr="00184809">
              <w:rPr>
                <w:b/>
                <w:bCs/>
                <w:color w:val="0000FF"/>
                <w:u w:val="single"/>
              </w:rPr>
              <w:t>-</w:t>
            </w:r>
            <w:r w:rsidRPr="00184809">
              <w:rPr>
                <w:b/>
                <w:bCs/>
                <w:color w:val="0000FF"/>
                <w:u w:val="single"/>
              </w:rPr>
              <w:fldChar w:fldCharType="begin"/>
            </w:r>
            <w:r w:rsidRPr="00184809">
              <w:rPr>
                <w:b/>
                <w:bCs/>
                <w:color w:val="0000FF"/>
                <w:u w:val="single"/>
              </w:rPr>
              <w:instrText xml:space="preserve">  SEQ Table \s 1 \* ARABIC  \* MERGEFORMAT </w:instrText>
            </w:r>
            <w:r w:rsidRPr="00184809">
              <w:rPr>
                <w:b/>
                <w:bCs/>
                <w:color w:val="0000FF"/>
                <w:u w:val="single"/>
              </w:rPr>
              <w:fldChar w:fldCharType="separate"/>
            </w:r>
            <w:r w:rsidR="004339EB">
              <w:rPr>
                <w:b/>
                <w:bCs/>
                <w:noProof/>
                <w:color w:val="0000FF"/>
                <w:u w:val="single"/>
              </w:rPr>
              <w:t>2</w:t>
            </w:r>
            <w:r w:rsidRPr="00184809">
              <w:rPr>
                <w:b/>
                <w:bCs/>
                <w:color w:val="0000FF"/>
                <w:u w:val="single"/>
              </w:rPr>
              <w:fldChar w:fldCharType="end"/>
            </w:r>
            <w:r w:rsidRPr="00184809">
              <w:rPr>
                <w:b/>
                <w:bCs/>
                <w:color w:val="0000FF"/>
                <w:u w:val="single"/>
              </w:rPr>
              <w:tab/>
              <w:t>Tabulated summary of adverse drug reactions</w:t>
            </w:r>
            <w:bookmarkEnd w:id="3"/>
            <w:r w:rsidRPr="00184809">
              <w:rPr>
                <w:b/>
                <w:bCs/>
                <w:color w:val="0000FF"/>
                <w:u w:val="single"/>
                <w:lang w:eastAsia="en-US"/>
              </w:rPr>
              <w:t xml:space="preserve"> </w:t>
            </w:r>
          </w:p>
          <w:p w:rsidR="00184809" w:rsidRDefault="00184809" w:rsidP="000D21B9">
            <w:pPr>
              <w:pStyle w:val="Text"/>
              <w:spacing w:before="60"/>
              <w:jc w:val="left"/>
              <w:rPr>
                <w:rFonts w:ascii="Times New Roman" w:hAnsi="Times New Roman"/>
                <w:b/>
                <w:bCs/>
                <w:color w:val="0000FF"/>
                <w:sz w:val="24"/>
                <w:szCs w:val="24"/>
                <w:u w:val="single"/>
              </w:rPr>
            </w:pPr>
          </w:p>
          <w:p w:rsidR="001E06D6" w:rsidRPr="0086535B" w:rsidRDefault="0086535B" w:rsidP="000D21B9">
            <w:pPr>
              <w:pStyle w:val="Text"/>
              <w:spacing w:before="60"/>
              <w:jc w:val="left"/>
              <w:rPr>
                <w:rFonts w:ascii="Times New Roman" w:hAnsi="Times New Roman"/>
                <w:b/>
                <w:bCs/>
                <w:color w:val="0000FF"/>
                <w:sz w:val="24"/>
                <w:szCs w:val="24"/>
                <w:u w:val="single"/>
              </w:rPr>
            </w:pPr>
            <w:r w:rsidRPr="0086535B">
              <w:rPr>
                <w:rFonts w:ascii="Times New Roman" w:hAnsi="Times New Roman"/>
                <w:b/>
                <w:bCs/>
                <w:color w:val="0000FF"/>
                <w:sz w:val="24"/>
                <w:szCs w:val="24"/>
                <w:u w:val="single"/>
              </w:rPr>
              <w:t>Infections</w:t>
            </w:r>
          </w:p>
          <w:p w:rsidR="0086535B" w:rsidRPr="0086535B" w:rsidRDefault="0086535B" w:rsidP="000D21B9">
            <w:pPr>
              <w:pStyle w:val="Text"/>
              <w:spacing w:before="60"/>
              <w:jc w:val="left"/>
              <w:rPr>
                <w:rFonts w:ascii="Times New Roman" w:hAnsi="Times New Roman"/>
                <w:noProof/>
                <w:color w:val="0000FF"/>
                <w:sz w:val="24"/>
                <w:szCs w:val="24"/>
                <w:u w:val="single"/>
              </w:rPr>
            </w:pPr>
            <w:r w:rsidRPr="0086535B">
              <w:rPr>
                <w:rFonts w:ascii="Times New Roman" w:hAnsi="Times New Roman"/>
                <w:noProof/>
                <w:color w:val="0000FF"/>
                <w:sz w:val="24"/>
                <w:szCs w:val="24"/>
                <w:highlight w:val="yellow"/>
                <w:u w:val="single"/>
              </w:rPr>
              <w:t>Sinusitis</w:t>
            </w:r>
            <w:r w:rsidRPr="0086535B">
              <w:rPr>
                <w:rFonts w:ascii="Times New Roman" w:hAnsi="Times New Roman"/>
                <w:noProof/>
                <w:color w:val="0000FF"/>
                <w:sz w:val="24"/>
                <w:szCs w:val="24"/>
                <w:u w:val="single"/>
              </w:rPr>
              <w:t xml:space="preserve">: </w:t>
            </w:r>
            <w:r w:rsidRPr="0086535B">
              <w:rPr>
                <w:rFonts w:ascii="Times New Roman" w:hAnsi="Times New Roman"/>
                <w:noProof/>
                <w:color w:val="0000FF"/>
                <w:sz w:val="24"/>
                <w:szCs w:val="24"/>
                <w:highlight w:val="yellow"/>
                <w:u w:val="single"/>
              </w:rPr>
              <w:t>very common</w:t>
            </w:r>
          </w:p>
          <w:p w:rsidR="0086535B" w:rsidRPr="0086535B" w:rsidRDefault="0086535B" w:rsidP="000D21B9">
            <w:pPr>
              <w:pStyle w:val="Text"/>
              <w:spacing w:before="60"/>
              <w:jc w:val="left"/>
              <w:rPr>
                <w:rFonts w:ascii="Times New Roman" w:hAnsi="Times New Roman"/>
                <w:b/>
                <w:bCs/>
                <w:color w:val="0000FF"/>
                <w:sz w:val="24"/>
                <w:szCs w:val="24"/>
                <w:u w:val="single"/>
              </w:rPr>
            </w:pPr>
            <w:r w:rsidRPr="0086535B">
              <w:rPr>
                <w:rFonts w:ascii="Times New Roman" w:hAnsi="Times New Roman"/>
                <w:b/>
                <w:bCs/>
                <w:color w:val="0000FF"/>
                <w:sz w:val="24"/>
                <w:szCs w:val="24"/>
                <w:u w:val="single"/>
              </w:rPr>
              <w:t>Nervous system disorders</w:t>
            </w:r>
          </w:p>
          <w:p w:rsidR="0086535B" w:rsidRPr="0086535B" w:rsidRDefault="0086535B" w:rsidP="000D21B9">
            <w:pPr>
              <w:pStyle w:val="Text"/>
              <w:spacing w:before="60"/>
              <w:jc w:val="left"/>
              <w:rPr>
                <w:rFonts w:ascii="Times New Roman" w:hAnsi="Times New Roman"/>
                <w:color w:val="0000FF"/>
                <w:sz w:val="24"/>
                <w:szCs w:val="24"/>
                <w:u w:val="single"/>
              </w:rPr>
            </w:pPr>
            <w:r w:rsidRPr="0086535B">
              <w:rPr>
                <w:rFonts w:ascii="Times New Roman" w:hAnsi="Times New Roman"/>
                <w:color w:val="0000FF"/>
                <w:sz w:val="24"/>
                <w:szCs w:val="24"/>
                <w:highlight w:val="yellow"/>
                <w:u w:val="single"/>
              </w:rPr>
              <w:t>Posterior reversible encephalopathy syndrome (PRES)</w:t>
            </w:r>
            <w:r w:rsidRPr="0086535B">
              <w:rPr>
                <w:rFonts w:ascii="Times New Roman" w:hAnsi="Times New Roman"/>
                <w:color w:val="0000FF"/>
                <w:sz w:val="24"/>
                <w:szCs w:val="24"/>
                <w:u w:val="single"/>
              </w:rPr>
              <w:t xml:space="preserve">: </w:t>
            </w:r>
            <w:r w:rsidRPr="0086535B">
              <w:rPr>
                <w:rFonts w:ascii="Times New Roman" w:hAnsi="Times New Roman"/>
                <w:color w:val="0000FF"/>
                <w:sz w:val="24"/>
                <w:szCs w:val="24"/>
                <w:highlight w:val="yellow"/>
                <w:u w:val="single"/>
              </w:rPr>
              <w:t>rare*</w:t>
            </w:r>
          </w:p>
          <w:p w:rsidR="0086535B" w:rsidRPr="0086535B" w:rsidRDefault="0086535B" w:rsidP="000D21B9">
            <w:pPr>
              <w:pStyle w:val="Text"/>
              <w:spacing w:before="60"/>
              <w:jc w:val="left"/>
              <w:rPr>
                <w:rFonts w:ascii="Times New Roman" w:hAnsi="Times New Roman"/>
                <w:b/>
                <w:bCs/>
                <w:color w:val="0000FF"/>
                <w:sz w:val="24"/>
                <w:szCs w:val="24"/>
                <w:u w:val="single"/>
              </w:rPr>
            </w:pPr>
            <w:r w:rsidRPr="0086535B">
              <w:rPr>
                <w:rFonts w:ascii="Times New Roman" w:hAnsi="Times New Roman"/>
                <w:b/>
                <w:bCs/>
                <w:color w:val="0000FF"/>
                <w:sz w:val="24"/>
                <w:szCs w:val="24"/>
                <w:u w:val="single"/>
              </w:rPr>
              <w:t>Investigations</w:t>
            </w:r>
          </w:p>
          <w:p w:rsidR="0086535B" w:rsidRDefault="0086535B" w:rsidP="000D21B9">
            <w:pPr>
              <w:pStyle w:val="Text"/>
              <w:spacing w:before="60"/>
              <w:jc w:val="left"/>
              <w:rPr>
                <w:rFonts w:ascii="Times New Roman" w:hAnsi="Times New Roman"/>
                <w:noProof/>
                <w:color w:val="0000FF"/>
                <w:sz w:val="24"/>
                <w:szCs w:val="24"/>
                <w:u w:val="single"/>
              </w:rPr>
            </w:pPr>
            <w:r w:rsidRPr="0086535B">
              <w:rPr>
                <w:rFonts w:ascii="Times New Roman" w:hAnsi="Times New Roman"/>
                <w:color w:val="0000FF"/>
                <w:sz w:val="24"/>
                <w:szCs w:val="24"/>
                <w:highlight w:val="yellow"/>
                <w:u w:val="single"/>
              </w:rPr>
              <w:t>Hepatic enzyme increased</w:t>
            </w:r>
            <w:r w:rsidRPr="0086535B">
              <w:rPr>
                <w:rFonts w:ascii="Times New Roman" w:hAnsi="Times New Roman"/>
                <w:color w:val="0000FF"/>
                <w:sz w:val="24"/>
                <w:szCs w:val="24"/>
                <w:u w:val="single"/>
              </w:rPr>
              <w:t xml:space="preserve"> (increased ALT, GGT, </w:t>
            </w:r>
            <w:r w:rsidRPr="0086535B">
              <w:rPr>
                <w:rFonts w:ascii="Times New Roman" w:hAnsi="Times New Roman"/>
                <w:color w:val="0000FF"/>
                <w:sz w:val="24"/>
                <w:szCs w:val="24"/>
                <w:highlight w:val="yellow"/>
                <w:u w:val="single"/>
              </w:rPr>
              <w:t>AST</w:t>
            </w:r>
            <w:r w:rsidRPr="0086535B">
              <w:rPr>
                <w:rFonts w:ascii="Times New Roman" w:hAnsi="Times New Roman"/>
                <w:color w:val="0000FF"/>
                <w:sz w:val="24"/>
                <w:szCs w:val="24"/>
                <w:u w:val="single"/>
              </w:rPr>
              <w:t xml:space="preserve">): </w:t>
            </w:r>
            <w:r w:rsidRPr="0086535B">
              <w:rPr>
                <w:rFonts w:ascii="Times New Roman" w:hAnsi="Times New Roman"/>
                <w:noProof/>
                <w:color w:val="0000FF"/>
                <w:sz w:val="24"/>
                <w:szCs w:val="24"/>
                <w:highlight w:val="yellow"/>
                <w:u w:val="single"/>
              </w:rPr>
              <w:t>Very common</w:t>
            </w:r>
          </w:p>
          <w:p w:rsidR="00DE4189" w:rsidRPr="00DE4189" w:rsidRDefault="00DE4189" w:rsidP="000D21B9">
            <w:pPr>
              <w:pStyle w:val="Text"/>
              <w:spacing w:before="60"/>
              <w:jc w:val="left"/>
              <w:rPr>
                <w:rFonts w:ascii="Times New Roman" w:hAnsi="Times New Roman"/>
                <w:noProof/>
                <w:sz w:val="24"/>
                <w:szCs w:val="24"/>
              </w:rPr>
            </w:pPr>
          </w:p>
          <w:p w:rsidR="00DE4189" w:rsidRPr="00F57E0E" w:rsidRDefault="00DE4189" w:rsidP="00DE4189">
            <w:pPr>
              <w:pStyle w:val="Nottoc-headings"/>
              <w:rPr>
                <w:rFonts w:cs="Arial"/>
              </w:rPr>
            </w:pPr>
            <w:r w:rsidRPr="00F57E0E">
              <w:rPr>
                <w:rFonts w:cs="Arial"/>
              </w:rPr>
              <w:t>Infections</w:t>
            </w:r>
          </w:p>
          <w:p w:rsidR="00DE4189" w:rsidRPr="00DE4189" w:rsidRDefault="00DE4189" w:rsidP="00DE4189">
            <w:pPr>
              <w:pStyle w:val="Text"/>
              <w:rPr>
                <w:color w:val="0000FF"/>
                <w:u w:val="single"/>
              </w:rPr>
            </w:pPr>
            <w:r w:rsidRPr="00FD27F6">
              <w:rPr>
                <w:szCs w:val="24"/>
              </w:rPr>
              <w:t xml:space="preserve">In multiple sclerosis clinical trials, the </w:t>
            </w:r>
            <w:r w:rsidRPr="00FD27F6">
              <w:rPr>
                <w:szCs w:val="24"/>
              </w:rPr>
              <w:lastRenderedPageBreak/>
              <w:t>overall rate of infections (</w:t>
            </w:r>
            <w:r w:rsidRPr="00DE4189">
              <w:rPr>
                <w:strike/>
                <w:color w:val="0000FF"/>
                <w:szCs w:val="24"/>
              </w:rPr>
              <w:t>72</w:t>
            </w:r>
            <w:r w:rsidRPr="00DE4189">
              <w:rPr>
                <w:color w:val="0000FF"/>
                <w:szCs w:val="24"/>
                <w:u w:val="single"/>
              </w:rPr>
              <w:t>65.1</w:t>
            </w:r>
            <w:r w:rsidRPr="00FD27F6">
              <w:rPr>
                <w:szCs w:val="24"/>
              </w:rPr>
              <w:t xml:space="preserve">%) </w:t>
            </w:r>
            <w:r w:rsidRPr="00DE4189">
              <w:rPr>
                <w:strike/>
                <w:color w:val="0000FF"/>
                <w:szCs w:val="24"/>
              </w:rPr>
              <w:t xml:space="preserve">and serious infections </w:t>
            </w:r>
            <w:r w:rsidRPr="00FD27F6">
              <w:rPr>
                <w:szCs w:val="24"/>
              </w:rPr>
              <w:t>(2%) at the 0.5 mg dose was similar to placebo</w:t>
            </w:r>
            <w:r w:rsidRPr="00FD27F6">
              <w:rPr>
                <w:color w:val="0000FF"/>
                <w:szCs w:val="24"/>
              </w:rPr>
              <w:t>.</w:t>
            </w:r>
            <w:r w:rsidRPr="00FD27F6">
              <w:rPr>
                <w:szCs w:val="24"/>
              </w:rPr>
              <w:t xml:space="preserve"> However, </w:t>
            </w:r>
            <w:r w:rsidRPr="00DE4189">
              <w:rPr>
                <w:strike/>
                <w:color w:val="0000FF"/>
                <w:szCs w:val="24"/>
              </w:rPr>
              <w:t xml:space="preserve">lower respiratory tract infections, </w:t>
            </w:r>
            <w:r w:rsidRPr="00FD27F6">
              <w:rPr>
                <w:szCs w:val="24"/>
              </w:rPr>
              <w:t>bronchitis</w:t>
            </w:r>
            <w:r w:rsidRPr="00DE4189">
              <w:rPr>
                <w:color w:val="0000FF"/>
                <w:szCs w:val="24"/>
                <w:u w:val="single"/>
              </w:rPr>
              <w:t xml:space="preserve">, </w:t>
            </w:r>
            <w:r w:rsidRPr="00DE4189">
              <w:rPr>
                <w:color w:val="0000FF"/>
                <w:szCs w:val="24"/>
                <w:highlight w:val="yellow"/>
                <w:u w:val="single"/>
              </w:rPr>
              <w:t>herpes zoster</w:t>
            </w:r>
            <w:r w:rsidRPr="00FD27F6">
              <w:rPr>
                <w:szCs w:val="24"/>
              </w:rPr>
              <w:t xml:space="preserve"> and pneumonia, were more common in Gilenya treated patients</w:t>
            </w:r>
            <w:r w:rsidRPr="00FD27F6">
              <w:rPr>
                <w:color w:val="0000FF"/>
                <w:szCs w:val="24"/>
              </w:rPr>
              <w:t>.</w:t>
            </w:r>
            <w:r w:rsidRPr="00DE4189">
              <w:rPr>
                <w:color w:val="0000FF"/>
                <w:szCs w:val="24"/>
                <w:u w:val="single"/>
              </w:rPr>
              <w:t xml:space="preserve"> </w:t>
            </w:r>
            <w:r w:rsidRPr="00DE4189">
              <w:rPr>
                <w:color w:val="0000FF"/>
                <w:u w:val="single"/>
              </w:rPr>
              <w:t>Serious infections occurred at a rate of 1.6% in the fingolimod 0.5 mg group versus 1.4% in the placebo group.</w:t>
            </w:r>
          </w:p>
          <w:p w:rsidR="00DE4189" w:rsidRPr="00DE4189" w:rsidRDefault="00DE4189" w:rsidP="00DE4189">
            <w:pPr>
              <w:pStyle w:val="Text"/>
              <w:rPr>
                <w:color w:val="0000FF"/>
                <w:szCs w:val="24"/>
                <w:u w:val="single"/>
              </w:rPr>
            </w:pPr>
            <w:r w:rsidRPr="00DE4189">
              <w:rPr>
                <w:color w:val="0000FF"/>
                <w:szCs w:val="24"/>
                <w:highlight w:val="yellow"/>
                <w:u w:val="single"/>
              </w:rPr>
              <w:t>There have been very rare fatal cases of VZV infections in the context of prolonged concomitant corticosteroid use (more than 5 days) for treatment of multiple sclerosis relapses, however, a causal relationship between the concomitant treatment and fatal outcome has not been established.</w:t>
            </w:r>
            <w:r w:rsidRPr="00DE4189">
              <w:rPr>
                <w:color w:val="0000FF"/>
                <w:szCs w:val="24"/>
                <w:u w:val="single"/>
              </w:rPr>
              <w:t xml:space="preserve"> Co-administration of a short course of corticosteroids (up to 5 days as per study protocols) did not increase the overall rate of infection in patients treated with fingolimod in the Phase III clinical trials, compared to placebo (see section 6 Warnings and precautions and section 8 Interactions).</w:t>
            </w:r>
          </w:p>
          <w:p w:rsidR="00DE4189" w:rsidRPr="00FD27F6" w:rsidRDefault="00DE4189" w:rsidP="00DE4189">
            <w:pPr>
              <w:pStyle w:val="Text"/>
              <w:rPr>
                <w:szCs w:val="24"/>
              </w:rPr>
            </w:pPr>
            <w:r w:rsidRPr="00DE4189">
              <w:rPr>
                <w:color w:val="0000FF"/>
                <w:highlight w:val="yellow"/>
                <w:u w:val="single"/>
              </w:rPr>
              <w:t>There have been very rare cases of other herpes viral infections with fatal outcome. However, a causal relationship with Gilenya has not been established.</w:t>
            </w:r>
          </w:p>
          <w:p w:rsidR="00DE4189" w:rsidRDefault="00DE4189" w:rsidP="00DE4189">
            <w:pPr>
              <w:pStyle w:val="Text"/>
              <w:rPr>
                <w:strike/>
                <w:color w:val="0000FF"/>
                <w:szCs w:val="24"/>
              </w:rPr>
            </w:pPr>
            <w:r w:rsidRPr="00DE4189">
              <w:rPr>
                <w:strike/>
                <w:color w:val="0000FF"/>
                <w:szCs w:val="24"/>
              </w:rPr>
              <w:t>Two serious cases of disseminated herpes infection which were fatal have occurred on the 1.25 mg dose; a case of herpes encephalitis in a patient in whom initiation of acyclovir therapy was delayed by one week and a case of a primary disseminated varicella zoster infection in a patient not previously exposed to varicella receiving concomitant high-dose steroid therapy for a multiple sclerosis relapse.</w:t>
            </w:r>
          </w:p>
          <w:p w:rsidR="006B74C8" w:rsidRPr="00F57E0E" w:rsidRDefault="006B74C8" w:rsidP="006B74C8">
            <w:pPr>
              <w:pStyle w:val="Nottoc-headings"/>
              <w:rPr>
                <w:rFonts w:cs="Arial"/>
              </w:rPr>
            </w:pPr>
            <w:r w:rsidRPr="00F57E0E">
              <w:rPr>
                <w:rFonts w:cs="Arial"/>
              </w:rPr>
              <w:t xml:space="preserve">Macular </w:t>
            </w:r>
            <w:proofErr w:type="spellStart"/>
            <w:r w:rsidRPr="006B74C8">
              <w:rPr>
                <w:rFonts w:cs="Arial"/>
                <w:strike/>
                <w:color w:val="0000FF"/>
              </w:rPr>
              <w:t>E</w:t>
            </w:r>
            <w:r w:rsidRPr="006B74C8">
              <w:rPr>
                <w:rFonts w:cs="Arial"/>
                <w:color w:val="0000FF"/>
                <w:u w:val="single"/>
              </w:rPr>
              <w:t>e</w:t>
            </w:r>
            <w:r w:rsidRPr="00F57E0E">
              <w:rPr>
                <w:rFonts w:cs="Arial"/>
              </w:rPr>
              <w:t>dema</w:t>
            </w:r>
            <w:proofErr w:type="spellEnd"/>
          </w:p>
          <w:p w:rsidR="006B74C8" w:rsidRDefault="006B74C8" w:rsidP="006B74C8">
            <w:pPr>
              <w:pStyle w:val="Text"/>
              <w:rPr>
                <w:color w:val="0000FF"/>
                <w:szCs w:val="24"/>
              </w:rPr>
            </w:pPr>
            <w:r w:rsidRPr="00FD27F6">
              <w:rPr>
                <w:szCs w:val="24"/>
              </w:rPr>
              <w:t xml:space="preserve">In clinical trials, macular </w:t>
            </w:r>
            <w:proofErr w:type="spellStart"/>
            <w:r w:rsidRPr="00FD27F6">
              <w:rPr>
                <w:szCs w:val="24"/>
              </w:rPr>
              <w:t>edema</w:t>
            </w:r>
            <w:proofErr w:type="spellEnd"/>
            <w:r w:rsidRPr="00FD27F6">
              <w:rPr>
                <w:szCs w:val="24"/>
              </w:rPr>
              <w:t xml:space="preserve"> occurred in </w:t>
            </w:r>
            <w:r w:rsidRPr="006B74C8">
              <w:rPr>
                <w:strike/>
                <w:color w:val="0000FF"/>
                <w:szCs w:val="24"/>
                <w:highlight w:val="yellow"/>
              </w:rPr>
              <w:t>0.4</w:t>
            </w:r>
            <w:r w:rsidRPr="006B74C8">
              <w:rPr>
                <w:color w:val="0000FF"/>
                <w:szCs w:val="24"/>
                <w:highlight w:val="yellow"/>
                <w:u w:val="single"/>
              </w:rPr>
              <w:t>0.5</w:t>
            </w:r>
            <w:r w:rsidRPr="00515617">
              <w:rPr>
                <w:szCs w:val="24"/>
                <w:highlight w:val="yellow"/>
              </w:rPr>
              <w:t>%</w:t>
            </w:r>
            <w:r w:rsidRPr="00FD27F6">
              <w:rPr>
                <w:szCs w:val="24"/>
              </w:rPr>
              <w:t xml:space="preserve"> of patients treated with the recommended Gilenya dose of 0.5 mg and in 1.1% of patients treated with the higher 1.25 mg dose</w:t>
            </w:r>
            <w:r w:rsidRPr="00FD27F6">
              <w:rPr>
                <w:color w:val="0000FF"/>
                <w:szCs w:val="24"/>
              </w:rPr>
              <w:t>.</w:t>
            </w:r>
          </w:p>
          <w:p w:rsidR="008C1FEB" w:rsidRPr="008C1FEB" w:rsidRDefault="008C1FEB" w:rsidP="006B74C8">
            <w:pPr>
              <w:pStyle w:val="Text"/>
              <w:rPr>
                <w:szCs w:val="24"/>
              </w:rPr>
            </w:pPr>
            <w:r w:rsidRPr="008C1FEB">
              <w:rPr>
                <w:szCs w:val="24"/>
              </w:rPr>
              <w:t>…</w:t>
            </w:r>
          </w:p>
          <w:p w:rsidR="00D72F42" w:rsidRPr="00D72F42" w:rsidRDefault="00D72F42" w:rsidP="00D72F42">
            <w:pPr>
              <w:bidi w:val="0"/>
              <w:rPr>
                <w:rFonts w:ascii="Arial" w:eastAsia="MS Mincho" w:hAnsi="Arial" w:cs="Arial"/>
                <w:b/>
                <w:bCs/>
                <w:sz w:val="22"/>
                <w:szCs w:val="22"/>
                <w:lang w:eastAsia="ja-JP" w:bidi="ar-SA"/>
              </w:rPr>
            </w:pPr>
            <w:r w:rsidRPr="00D72F42">
              <w:rPr>
                <w:rFonts w:ascii="Arial" w:eastAsia="MS Mincho" w:hAnsi="Arial" w:cs="Arial"/>
                <w:b/>
                <w:bCs/>
                <w:sz w:val="22"/>
                <w:szCs w:val="22"/>
                <w:lang w:val="en-GB" w:eastAsia="ja-JP" w:bidi="ar-SA"/>
              </w:rPr>
              <w:t>Blood pressure</w:t>
            </w:r>
          </w:p>
          <w:p w:rsidR="00D72F42" w:rsidRDefault="00D72F42" w:rsidP="00D72F42">
            <w:pPr>
              <w:bidi w:val="0"/>
              <w:spacing w:before="120"/>
              <w:jc w:val="both"/>
              <w:rPr>
                <w:rFonts w:eastAsia="MS Mincho" w:cs="Times New Roman"/>
                <w:color w:val="0000FF"/>
                <w:lang w:val="en-GB" w:eastAsia="ja-JP" w:bidi="ar-SA"/>
              </w:rPr>
            </w:pPr>
            <w:r w:rsidRPr="00D72F42">
              <w:rPr>
                <w:rFonts w:eastAsia="MS Mincho" w:cs="Times New Roman"/>
                <w:lang w:val="en-GB" w:eastAsia="ja-JP" w:bidi="ar-SA"/>
              </w:rPr>
              <w:t xml:space="preserve">Hypertension was reported in </w:t>
            </w:r>
            <w:r w:rsidRPr="00D72F42">
              <w:rPr>
                <w:rFonts w:eastAsia="MS Mincho" w:cs="Times New Roman"/>
                <w:strike/>
                <w:color w:val="0000FF"/>
                <w:highlight w:val="yellow"/>
                <w:lang w:val="en-GB" w:eastAsia="ja-JP" w:bidi="ar-SA"/>
              </w:rPr>
              <w:t>6.1</w:t>
            </w:r>
            <w:r w:rsidRPr="00D72F42">
              <w:rPr>
                <w:rFonts w:eastAsia="MS Mincho" w:cs="Times New Roman"/>
                <w:color w:val="0000FF"/>
                <w:highlight w:val="yellow"/>
                <w:u w:val="single"/>
                <w:lang w:val="en-GB" w:eastAsia="ja-JP" w:bidi="ar-SA"/>
              </w:rPr>
              <w:t>6.5</w:t>
            </w:r>
            <w:r w:rsidRPr="00D72F42">
              <w:rPr>
                <w:rFonts w:eastAsia="MS Mincho" w:cs="Times New Roman"/>
                <w:highlight w:val="yellow"/>
                <w:lang w:val="en-GB" w:eastAsia="ja-JP" w:bidi="ar-SA"/>
              </w:rPr>
              <w:t>%</w:t>
            </w:r>
            <w:r w:rsidRPr="00D72F42">
              <w:rPr>
                <w:rFonts w:eastAsia="MS Mincho" w:cs="Times New Roman"/>
                <w:lang w:val="en-GB" w:eastAsia="ja-JP" w:bidi="ar-SA"/>
              </w:rPr>
              <w:t xml:space="preserve"> of patients on Gilenya 0.5 mg and in </w:t>
            </w:r>
            <w:r w:rsidRPr="00D72F42">
              <w:rPr>
                <w:rFonts w:eastAsia="MS Mincho" w:cs="Times New Roman"/>
                <w:strike/>
                <w:color w:val="0000FF"/>
                <w:lang w:val="en-GB" w:eastAsia="ja-JP" w:bidi="ar-SA"/>
              </w:rPr>
              <w:t>3.8</w:t>
            </w:r>
            <w:r w:rsidRPr="00D72F42">
              <w:rPr>
                <w:rFonts w:eastAsia="MS Mincho" w:cs="Times New Roman"/>
                <w:color w:val="0000FF"/>
                <w:u w:val="single"/>
                <w:lang w:val="en-GB" w:eastAsia="ja-JP" w:bidi="ar-SA"/>
              </w:rPr>
              <w:t>3.3</w:t>
            </w:r>
            <w:r w:rsidRPr="00D72F42">
              <w:rPr>
                <w:rFonts w:eastAsia="MS Mincho" w:cs="Times New Roman"/>
                <w:lang w:val="en-GB" w:eastAsia="ja-JP" w:bidi="ar-SA"/>
              </w:rPr>
              <w:t xml:space="preserve"> % of patients on placebo</w:t>
            </w:r>
            <w:r w:rsidRPr="00D72F42">
              <w:rPr>
                <w:rFonts w:eastAsia="MS Mincho" w:cs="Times New Roman"/>
                <w:color w:val="0000FF"/>
                <w:lang w:val="en-GB" w:eastAsia="ja-JP" w:bidi="ar-SA"/>
              </w:rPr>
              <w:t>.</w:t>
            </w:r>
          </w:p>
          <w:p w:rsidR="00124F2C" w:rsidRPr="00124F2C" w:rsidRDefault="00124F2C" w:rsidP="00124F2C">
            <w:pPr>
              <w:bidi w:val="0"/>
              <w:spacing w:before="120"/>
              <w:jc w:val="both"/>
              <w:rPr>
                <w:rFonts w:eastAsia="MS Mincho" w:cs="Times New Roman"/>
                <w:lang w:val="en-GB" w:eastAsia="ja-JP" w:bidi="ar-SA"/>
              </w:rPr>
            </w:pPr>
            <w:r w:rsidRPr="00124F2C">
              <w:rPr>
                <w:rFonts w:eastAsia="MS Mincho" w:cs="Times New Roman"/>
                <w:lang w:val="en-GB" w:eastAsia="ja-JP" w:bidi="ar-SA"/>
              </w:rPr>
              <w:t>…</w:t>
            </w:r>
          </w:p>
          <w:p w:rsidR="00124F2C" w:rsidRPr="00F57E0E" w:rsidRDefault="00124F2C" w:rsidP="00124F2C">
            <w:pPr>
              <w:pStyle w:val="Nottoc-headings"/>
              <w:rPr>
                <w:rFonts w:cs="Arial"/>
              </w:rPr>
            </w:pPr>
            <w:r w:rsidRPr="00F57E0E">
              <w:rPr>
                <w:rFonts w:cs="Arial"/>
              </w:rPr>
              <w:lastRenderedPageBreak/>
              <w:t>Lymphomas</w:t>
            </w:r>
          </w:p>
          <w:p w:rsidR="00124F2C" w:rsidRPr="00FD27F6" w:rsidRDefault="00124F2C" w:rsidP="00124F2C">
            <w:pPr>
              <w:pStyle w:val="Text"/>
              <w:rPr>
                <w:szCs w:val="24"/>
              </w:rPr>
            </w:pPr>
            <w:r w:rsidRPr="00124F2C">
              <w:rPr>
                <w:rFonts w:ascii="TimesNewRoman,BoldItalic" w:hAnsi="TimesNewRoman,BoldItalic" w:cs="TimesNewRoman,BoldItalic"/>
                <w:bCs/>
                <w:iCs/>
                <w:color w:val="0000FF"/>
                <w:szCs w:val="24"/>
                <w:u w:val="single"/>
              </w:rPr>
              <w:t xml:space="preserve">There have been cases of lymphoma in clinical studies </w:t>
            </w:r>
            <w:r w:rsidRPr="00124F2C">
              <w:rPr>
                <w:rFonts w:ascii="TimesNewRoman,BoldItalic" w:hAnsi="TimesNewRoman,BoldItalic" w:cs="TimesNewRoman,BoldItalic"/>
                <w:bCs/>
                <w:iCs/>
                <w:color w:val="0000FF"/>
                <w:szCs w:val="24"/>
                <w:highlight w:val="yellow"/>
                <w:u w:val="single"/>
              </w:rPr>
              <w:t>and the post-marketing setting</w:t>
            </w:r>
            <w:r w:rsidRPr="00124F2C">
              <w:rPr>
                <w:rFonts w:ascii="TimesNewRoman,BoldItalic" w:hAnsi="TimesNewRoman,BoldItalic" w:cs="TimesNewRoman,BoldItalic"/>
                <w:bCs/>
                <w:iCs/>
                <w:color w:val="0000FF"/>
                <w:szCs w:val="24"/>
                <w:u w:val="single"/>
              </w:rPr>
              <w:t xml:space="preserve">. The cases reported were heterogeneous in nature, including B-cell and T-cell lymphomas. </w:t>
            </w:r>
            <w:r w:rsidRPr="00124F2C">
              <w:rPr>
                <w:strike/>
                <w:color w:val="0000FF"/>
                <w:szCs w:val="24"/>
              </w:rPr>
              <w:t xml:space="preserve">Cases of lymphoma (cutaneous T-cell </w:t>
            </w:r>
            <w:proofErr w:type="spellStart"/>
            <w:r w:rsidRPr="00124F2C">
              <w:rPr>
                <w:strike/>
                <w:color w:val="0000FF"/>
                <w:szCs w:val="24"/>
              </w:rPr>
              <w:t>lymphoproliferative</w:t>
            </w:r>
            <w:proofErr w:type="spellEnd"/>
            <w:r w:rsidRPr="00124F2C">
              <w:rPr>
                <w:strike/>
                <w:color w:val="0000FF"/>
                <w:szCs w:val="24"/>
              </w:rPr>
              <w:t xml:space="preserve"> disorders or diffuse B-cell lymphoma) were reported in premarketing clinical trials in MS patients receiving Gilenya at, or above, the recommended dose of 0.5 mg. Based on the small number of reported cases and short duration of exposure, </w:t>
            </w:r>
            <w:proofErr w:type="spellStart"/>
            <w:r w:rsidRPr="00124F2C">
              <w:rPr>
                <w:strike/>
                <w:color w:val="0000FF"/>
                <w:szCs w:val="24"/>
              </w:rPr>
              <w:t>t</w:t>
            </w:r>
            <w:proofErr w:type="spellEnd"/>
            <w:r>
              <w:rPr>
                <w:strike/>
                <w:color w:val="0000FF"/>
                <w:szCs w:val="24"/>
              </w:rPr>
              <w:t xml:space="preserve"> </w:t>
            </w:r>
            <w:r w:rsidRPr="00124F2C">
              <w:rPr>
                <w:color w:val="0000FF"/>
                <w:szCs w:val="24"/>
                <w:u w:val="single"/>
              </w:rPr>
              <w:t>T</w:t>
            </w:r>
            <w:r w:rsidRPr="00FD27F6">
              <w:rPr>
                <w:szCs w:val="24"/>
              </w:rPr>
              <w:t>he relationship to Gilenya remains uncertain.</w:t>
            </w:r>
          </w:p>
          <w:p w:rsidR="00DE4189" w:rsidRPr="001E06D6" w:rsidRDefault="00DE4189" w:rsidP="000D21B9">
            <w:pPr>
              <w:pStyle w:val="Text"/>
              <w:spacing w:before="60"/>
              <w:jc w:val="left"/>
              <w:rPr>
                <w:rFonts w:ascii="Times New Roman" w:hAnsi="Times New Roman"/>
                <w:sz w:val="24"/>
                <w:szCs w:val="24"/>
                <w:rtl/>
                <w:lang w:val="en-US"/>
              </w:rPr>
            </w:pPr>
          </w:p>
        </w:tc>
      </w:tr>
      <w:tr w:rsidR="008B01C8" w:rsidTr="000D21B9">
        <w:trPr>
          <w:jc w:val="center"/>
        </w:trPr>
        <w:tc>
          <w:tcPr>
            <w:tcW w:w="1799" w:type="dxa"/>
          </w:tcPr>
          <w:p w:rsidR="008B01C8" w:rsidRDefault="008B01C8" w:rsidP="00950344">
            <w:pPr>
              <w:bidi w:val="0"/>
              <w:rPr>
                <w:b/>
                <w:bCs/>
                <w:lang w:val="en-GB"/>
              </w:rPr>
            </w:pPr>
            <w:r>
              <w:rPr>
                <w:b/>
                <w:bCs/>
                <w:lang w:val="en-GB"/>
              </w:rPr>
              <w:lastRenderedPageBreak/>
              <w:t>Interactions</w:t>
            </w:r>
          </w:p>
        </w:tc>
        <w:tc>
          <w:tcPr>
            <w:tcW w:w="4111" w:type="dxa"/>
          </w:tcPr>
          <w:p w:rsidR="008B01C8" w:rsidRPr="00F57E0E" w:rsidRDefault="008B01C8" w:rsidP="008B01C8">
            <w:pPr>
              <w:pStyle w:val="Nottoc-headings"/>
              <w:rPr>
                <w:rFonts w:cs="Arial"/>
              </w:rPr>
            </w:pPr>
            <w:proofErr w:type="spellStart"/>
            <w:r w:rsidRPr="00F57E0E">
              <w:rPr>
                <w:rFonts w:cs="Arial"/>
              </w:rPr>
              <w:t>Pharmacodynamic</w:t>
            </w:r>
            <w:proofErr w:type="spellEnd"/>
            <w:r w:rsidRPr="00F57E0E">
              <w:rPr>
                <w:rFonts w:cs="Arial"/>
              </w:rPr>
              <w:t xml:space="preserve"> interactions</w:t>
            </w:r>
          </w:p>
          <w:p w:rsidR="008B01C8" w:rsidRDefault="008B01C8" w:rsidP="008B01C8">
            <w:pPr>
              <w:pStyle w:val="Text"/>
              <w:spacing w:before="0" w:line="240" w:lineRule="auto"/>
              <w:jc w:val="left"/>
              <w:rPr>
                <w:szCs w:val="24"/>
              </w:rPr>
            </w:pPr>
            <w:r w:rsidRPr="00FD27F6">
              <w:rPr>
                <w:szCs w:val="24"/>
              </w:rPr>
              <w:t>Anti-neoplastic, immunosuppressive or immune modulating therapies should be co-administered with caution due to the risk of additive immune system effects.</w:t>
            </w:r>
          </w:p>
          <w:p w:rsidR="000D36FB" w:rsidRDefault="000D36FB" w:rsidP="008B01C8">
            <w:pPr>
              <w:pStyle w:val="Text"/>
              <w:spacing w:before="0" w:line="240" w:lineRule="auto"/>
              <w:jc w:val="left"/>
              <w:rPr>
                <w:szCs w:val="24"/>
              </w:rPr>
            </w:pPr>
          </w:p>
          <w:p w:rsidR="000D36FB" w:rsidRDefault="000D36FB" w:rsidP="008B01C8">
            <w:pPr>
              <w:pStyle w:val="Text"/>
              <w:spacing w:before="0" w:line="240" w:lineRule="auto"/>
              <w:jc w:val="left"/>
              <w:rPr>
                <w:szCs w:val="24"/>
              </w:rPr>
            </w:pPr>
          </w:p>
          <w:p w:rsidR="000D36FB" w:rsidRDefault="000D36FB" w:rsidP="008B01C8">
            <w:pPr>
              <w:pStyle w:val="Text"/>
              <w:spacing w:before="0" w:line="240" w:lineRule="auto"/>
              <w:jc w:val="left"/>
              <w:rPr>
                <w:szCs w:val="24"/>
              </w:rPr>
            </w:pPr>
          </w:p>
          <w:p w:rsidR="000D36FB" w:rsidRDefault="000D36FB" w:rsidP="008B01C8">
            <w:pPr>
              <w:pStyle w:val="Text"/>
              <w:spacing w:before="0" w:line="240" w:lineRule="auto"/>
              <w:jc w:val="left"/>
              <w:rPr>
                <w:szCs w:val="24"/>
              </w:rPr>
            </w:pPr>
          </w:p>
          <w:p w:rsidR="000D36FB" w:rsidRDefault="000D36FB" w:rsidP="008B01C8">
            <w:pPr>
              <w:pStyle w:val="Text"/>
              <w:spacing w:before="0" w:line="240" w:lineRule="auto"/>
              <w:jc w:val="left"/>
              <w:rPr>
                <w:szCs w:val="24"/>
              </w:rPr>
            </w:pPr>
          </w:p>
          <w:p w:rsidR="000D36FB" w:rsidRDefault="000D36FB" w:rsidP="008B01C8">
            <w:pPr>
              <w:pStyle w:val="Text"/>
              <w:spacing w:before="0" w:line="240" w:lineRule="auto"/>
              <w:jc w:val="left"/>
              <w:rPr>
                <w:szCs w:val="24"/>
              </w:rPr>
            </w:pPr>
          </w:p>
        </w:tc>
        <w:tc>
          <w:tcPr>
            <w:tcW w:w="4437" w:type="dxa"/>
          </w:tcPr>
          <w:p w:rsidR="008B01C8" w:rsidRPr="00F57E0E" w:rsidRDefault="008B01C8" w:rsidP="008B01C8">
            <w:pPr>
              <w:pStyle w:val="Nottoc-headings"/>
              <w:rPr>
                <w:rFonts w:cs="Arial"/>
              </w:rPr>
            </w:pPr>
            <w:proofErr w:type="spellStart"/>
            <w:r w:rsidRPr="00F57E0E">
              <w:rPr>
                <w:rFonts w:cs="Arial"/>
              </w:rPr>
              <w:t>Pharmacodynamic</w:t>
            </w:r>
            <w:proofErr w:type="spellEnd"/>
            <w:r w:rsidRPr="00F57E0E">
              <w:rPr>
                <w:rFonts w:cs="Arial"/>
              </w:rPr>
              <w:t xml:space="preserve"> interactions</w:t>
            </w:r>
          </w:p>
          <w:p w:rsidR="008B01C8" w:rsidRDefault="008B01C8" w:rsidP="008B01C8">
            <w:pPr>
              <w:pStyle w:val="Text"/>
              <w:spacing w:before="60"/>
              <w:jc w:val="left"/>
              <w:rPr>
                <w:color w:val="0000FF"/>
                <w:u w:val="single"/>
              </w:rPr>
            </w:pPr>
            <w:r w:rsidRPr="00FD27F6">
              <w:rPr>
                <w:szCs w:val="24"/>
              </w:rPr>
              <w:t xml:space="preserve">Anti-neoplastic, </w:t>
            </w:r>
            <w:r w:rsidRPr="008B01C8">
              <w:rPr>
                <w:strike/>
                <w:color w:val="0000FF"/>
                <w:szCs w:val="24"/>
              </w:rPr>
              <w:t xml:space="preserve">immunosuppressive or </w:t>
            </w:r>
            <w:r w:rsidRPr="00FD27F6">
              <w:rPr>
                <w:szCs w:val="24"/>
              </w:rPr>
              <w:t xml:space="preserve">immune modulating </w:t>
            </w:r>
            <w:r w:rsidRPr="008B01C8">
              <w:rPr>
                <w:color w:val="0000FF"/>
                <w:szCs w:val="24"/>
                <w:u w:val="single"/>
              </w:rPr>
              <w:t xml:space="preserve">immunosuppressive or </w:t>
            </w:r>
            <w:r w:rsidRPr="00FD27F6">
              <w:rPr>
                <w:szCs w:val="24"/>
              </w:rPr>
              <w:t>therapies</w:t>
            </w:r>
            <w:r w:rsidRPr="008B01C8">
              <w:rPr>
                <w:color w:val="0000FF"/>
                <w:szCs w:val="24"/>
                <w:u w:val="single"/>
              </w:rPr>
              <w:t xml:space="preserve"> </w:t>
            </w:r>
            <w:r w:rsidRPr="008B01C8">
              <w:rPr>
                <w:color w:val="0000FF"/>
                <w:szCs w:val="24"/>
                <w:highlight w:val="yellow"/>
                <w:u w:val="single"/>
              </w:rPr>
              <w:t>(including corticosteroids)</w:t>
            </w:r>
            <w:r w:rsidRPr="00FD27F6">
              <w:rPr>
                <w:szCs w:val="24"/>
              </w:rPr>
              <w:t xml:space="preserve"> should be co-administered with caution due to the risk of additive immune system effects. </w:t>
            </w:r>
            <w:r w:rsidRPr="008B01C8">
              <w:rPr>
                <w:color w:val="0000FF"/>
                <w:highlight w:val="yellow"/>
                <w:u w:val="single"/>
              </w:rPr>
              <w:t>Specific decisions as to the dosage and duration of concomitant treatment with corticosteroids should be based on clinical judgment.</w:t>
            </w:r>
          </w:p>
          <w:p w:rsidR="000D36FB" w:rsidRDefault="000D36FB" w:rsidP="008B01C8">
            <w:pPr>
              <w:pStyle w:val="Text"/>
              <w:spacing w:before="60"/>
              <w:jc w:val="left"/>
            </w:pPr>
            <w:r>
              <w:t>…</w:t>
            </w:r>
          </w:p>
          <w:p w:rsidR="000D36FB" w:rsidRPr="000D36FB" w:rsidRDefault="000D36FB" w:rsidP="000D36FB">
            <w:pPr>
              <w:pStyle w:val="Nottoc-headings"/>
              <w:rPr>
                <w:color w:val="0000FF"/>
                <w:highlight w:val="yellow"/>
                <w:u w:val="single"/>
              </w:rPr>
            </w:pPr>
            <w:r w:rsidRPr="000D36FB">
              <w:rPr>
                <w:color w:val="0000FF"/>
                <w:highlight w:val="yellow"/>
                <w:u w:val="single"/>
              </w:rPr>
              <w:t xml:space="preserve">Carbamazepine </w:t>
            </w:r>
          </w:p>
          <w:p w:rsidR="000D36FB" w:rsidRPr="000D36FB" w:rsidRDefault="000D36FB" w:rsidP="000D36FB">
            <w:pPr>
              <w:pStyle w:val="Text"/>
              <w:rPr>
                <w:color w:val="0000FF"/>
                <w:szCs w:val="24"/>
                <w:u w:val="single"/>
              </w:rPr>
            </w:pPr>
            <w:r w:rsidRPr="000D36FB">
              <w:rPr>
                <w:color w:val="0000FF"/>
                <w:highlight w:val="yellow"/>
                <w:u w:val="single"/>
              </w:rPr>
              <w:t>The co-administration of carbamazepine 600 mg twice daily at steady-state and a single dose of fingolimod 2 mg had a weak effect on the AUC of fingolimod and fingolimod-phosphate, decreasing both by approximately 40%. The clinical relevance of this decrease is unknown.</w:t>
            </w:r>
          </w:p>
          <w:p w:rsidR="000D36FB" w:rsidRPr="000D36FB" w:rsidRDefault="000D36FB" w:rsidP="008B01C8">
            <w:pPr>
              <w:pStyle w:val="Text"/>
              <w:spacing w:before="60"/>
              <w:jc w:val="left"/>
              <w:rPr>
                <w:szCs w:val="24"/>
              </w:rPr>
            </w:pPr>
          </w:p>
        </w:tc>
      </w:tr>
    </w:tbl>
    <w:p w:rsidR="0025070D" w:rsidRDefault="0025070D" w:rsidP="0025070D">
      <w:pPr>
        <w:ind w:left="-143" w:right="-142" w:firstLine="720"/>
        <w:rPr>
          <w:rFonts w:cs="David Transparent"/>
          <w:sz w:val="20"/>
          <w:szCs w:val="20"/>
        </w:rPr>
      </w:pPr>
    </w:p>
    <w:p w:rsidR="0025070D" w:rsidRDefault="0025070D" w:rsidP="0025070D">
      <w:pPr>
        <w:ind w:left="-143" w:right="-142"/>
        <w:rPr>
          <w:rFonts w:cs="David Transparent"/>
          <w:sz w:val="20"/>
          <w:szCs w:val="20"/>
        </w:rPr>
      </w:pPr>
    </w:p>
    <w:p w:rsidR="0025070D" w:rsidRDefault="0025070D" w:rsidP="0025070D">
      <w:pPr>
        <w:ind w:left="-143" w:right="-142"/>
        <w:rPr>
          <w:rFonts w:cs="David Transparent"/>
          <w:sz w:val="20"/>
          <w:szCs w:val="20"/>
        </w:rPr>
      </w:pPr>
    </w:p>
    <w:p w:rsidR="0025070D" w:rsidRDefault="0025070D" w:rsidP="0025070D">
      <w:pPr>
        <w:ind w:left="-143" w:right="-142"/>
        <w:rPr>
          <w:rFonts w:cs="David Transparent"/>
          <w:sz w:val="20"/>
          <w:szCs w:val="20"/>
        </w:rPr>
      </w:pPr>
    </w:p>
    <w:p w:rsidR="0025070D" w:rsidRDefault="0025070D" w:rsidP="0025070D">
      <w:pPr>
        <w:ind w:left="-143" w:right="-142"/>
        <w:rPr>
          <w:rFonts w:cs="David Transparent"/>
          <w:sz w:val="20"/>
          <w:szCs w:val="20"/>
        </w:rPr>
      </w:pPr>
    </w:p>
    <w:p w:rsidR="006D77DD" w:rsidRDefault="00D2477C" w:rsidP="0025070D">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7598B">
        <w:rPr>
          <w:rFonts w:cs="David Transparent"/>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r w:rsidR="006D77DD"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הודעה על </w:t>
      </w:r>
      <w:r w:rsidR="006D77DD"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006D77DD"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006D77DD"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w:t>
      </w:r>
      <w:r w:rsidR="006D77DD">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בעלון לצרכן</w:t>
      </w:r>
    </w:p>
    <w:p w:rsidR="006D77DD" w:rsidRPr="0077598B" w:rsidRDefault="006D77DD" w:rsidP="00C05445">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46F36">
        <w:rPr>
          <w:rFonts w:cs="David Transparent" w:hint="cs"/>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Pr="0077598B">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6D77DD" w:rsidRDefault="006D77DD" w:rsidP="00C05445">
      <w:pPr>
        <w:rPr>
          <w:b/>
          <w:bCs/>
          <w:rtl/>
        </w:rPr>
      </w:pPr>
    </w:p>
    <w:p w:rsidR="006D77DD" w:rsidRPr="00D3782D" w:rsidRDefault="006D77DD" w:rsidP="00C05445">
      <w:pPr>
        <w:spacing w:line="360" w:lineRule="auto"/>
        <w:rPr>
          <w:rFonts w:cs="David Transparent"/>
          <w:sz w:val="20"/>
          <w:szCs w:val="20"/>
          <w:rtl/>
        </w:rPr>
      </w:pPr>
      <w:r w:rsidRPr="00FC10E6">
        <w:rPr>
          <w:rFonts w:cs="David Transparent" w:hint="cs"/>
          <w:b/>
          <w:bCs/>
          <w:rtl/>
        </w:rPr>
        <w:t>תאריך:</w:t>
      </w:r>
      <w:r w:rsidRPr="00D3782D">
        <w:rPr>
          <w:rFonts w:cs="David Transparent" w:hint="cs"/>
          <w:rtl/>
        </w:rPr>
        <w:tab/>
      </w:r>
    </w:p>
    <w:p w:rsidR="006D77DD" w:rsidRDefault="006D77DD" w:rsidP="006A4822">
      <w:pPr>
        <w:spacing w:line="360" w:lineRule="auto"/>
        <w:rPr>
          <w:rFonts w:cs="David Transparent"/>
          <w:b/>
          <w:bCs/>
        </w:rPr>
      </w:pPr>
      <w:r w:rsidRPr="00FC10E6">
        <w:rPr>
          <w:rFonts w:cs="David Transparent" w:hint="cs"/>
          <w:b/>
          <w:bCs/>
          <w:rtl/>
        </w:rPr>
        <w:t>שם תכשיר באנגלית:</w:t>
      </w:r>
      <w:r w:rsidRPr="00FC10E6">
        <w:rPr>
          <w:rFonts w:cs="David Transparent" w:hint="cs"/>
          <w:b/>
          <w:bCs/>
          <w:rtl/>
        </w:rPr>
        <w:tab/>
      </w:r>
      <w:r w:rsidR="006A4822">
        <w:rPr>
          <w:rFonts w:cs="David Transparent"/>
          <w:b/>
          <w:bCs/>
        </w:rPr>
        <w:t>Gilenya 0.5 mg</w:t>
      </w:r>
    </w:p>
    <w:p w:rsidR="006D77DD" w:rsidRPr="00FC10E6" w:rsidRDefault="006D77DD" w:rsidP="006A4822">
      <w:pPr>
        <w:spacing w:line="360" w:lineRule="auto"/>
        <w:rPr>
          <w:rFonts w:cs="David Transparent"/>
          <w:b/>
          <w:bCs/>
          <w:rtl/>
        </w:rPr>
      </w:pPr>
      <w:r w:rsidRPr="00FC10E6">
        <w:rPr>
          <w:rFonts w:cs="David Transparent" w:hint="cs"/>
          <w:b/>
          <w:bCs/>
          <w:rtl/>
        </w:rPr>
        <w:t xml:space="preserve">מספר </w:t>
      </w:r>
      <w:r>
        <w:rPr>
          <w:rFonts w:cs="David Transparent" w:hint="cs"/>
          <w:b/>
          <w:bCs/>
          <w:rtl/>
        </w:rPr>
        <w:t>ה</w:t>
      </w:r>
      <w:r w:rsidRPr="00FC10E6">
        <w:rPr>
          <w:rFonts w:cs="David Transparent" w:hint="cs"/>
          <w:b/>
          <w:bCs/>
          <w:rtl/>
        </w:rPr>
        <w:t>רישום:</w:t>
      </w:r>
      <w:r w:rsidRPr="00FC10E6">
        <w:rPr>
          <w:rFonts w:cs="David Transparent" w:hint="cs"/>
          <w:b/>
          <w:bCs/>
          <w:rtl/>
        </w:rPr>
        <w:tab/>
      </w:r>
      <w:r>
        <w:rPr>
          <w:rFonts w:cs="David Transparent"/>
          <w:b/>
          <w:bCs/>
        </w:rPr>
        <w:t>[</w:t>
      </w:r>
      <w:r w:rsidR="006A4822">
        <w:rPr>
          <w:rFonts w:cs="David Transparent"/>
          <w:b/>
          <w:bCs/>
        </w:rPr>
        <w:t>33270</w:t>
      </w:r>
      <w:r>
        <w:rPr>
          <w:rFonts w:cs="David Transparent"/>
          <w:b/>
          <w:bCs/>
        </w:rPr>
        <w:t>]</w:t>
      </w:r>
    </w:p>
    <w:p w:rsidR="006D77DD" w:rsidRPr="001A608C" w:rsidRDefault="006D77DD" w:rsidP="00C05445">
      <w:pPr>
        <w:spacing w:line="360" w:lineRule="auto"/>
        <w:rPr>
          <w:rFonts w:cs="David Transparent"/>
          <w:szCs w:val="28"/>
          <w:rtl/>
        </w:rPr>
      </w:pPr>
      <w:r w:rsidRPr="00FC10E6">
        <w:rPr>
          <w:rFonts w:cs="David Transparent" w:hint="cs"/>
          <w:b/>
          <w:bCs/>
          <w:rtl/>
        </w:rPr>
        <w:t>שם בעל הרישום:</w:t>
      </w:r>
      <w:r>
        <w:rPr>
          <w:rFonts w:cs="David Transparent" w:hint="cs"/>
          <w:rtl/>
        </w:rPr>
        <w:tab/>
        <w:t>נוברטיס פארמה סרויסס איי ג'י</w:t>
      </w:r>
    </w:p>
    <w:p w:rsidR="006D77DD" w:rsidRDefault="006D77DD" w:rsidP="00C05445">
      <w:pPr>
        <w:spacing w:line="360" w:lineRule="auto"/>
        <w:ind w:left="-694" w:firstLine="694"/>
        <w:jc w:val="center"/>
        <w:rPr>
          <w:b/>
          <w:bCs/>
          <w:u w:val="single"/>
          <w:rtl/>
        </w:rPr>
      </w:pPr>
      <w:r w:rsidRPr="00652041">
        <w:rPr>
          <w:rFonts w:hint="cs"/>
          <w:color w:val="FF0000"/>
          <w:rtl/>
        </w:rPr>
        <w:t>טופס זה מיועד לפירוט ההחמרות בלבד!</w:t>
      </w:r>
    </w:p>
    <w:tbl>
      <w:tblPr>
        <w:tblStyle w:val="af"/>
        <w:bidiVisual/>
        <w:tblW w:w="0" w:type="auto"/>
        <w:tblLook w:val="04A0" w:firstRow="1" w:lastRow="0" w:firstColumn="1" w:lastColumn="0" w:noHBand="0" w:noVBand="1"/>
      </w:tblPr>
      <w:tblGrid>
        <w:gridCol w:w="4117"/>
      </w:tblGrid>
      <w:tr w:rsidR="006D77DD" w:rsidTr="00AC46D1">
        <w:trPr>
          <w:trHeight w:val="916"/>
        </w:trPr>
        <w:tc>
          <w:tcPr>
            <w:tcW w:w="4117" w:type="dxa"/>
            <w:vAlign w:val="center"/>
          </w:tcPr>
          <w:p w:rsidR="006D77DD" w:rsidRPr="001A608C" w:rsidRDefault="006D77DD" w:rsidP="006D77DD">
            <w:pPr>
              <w:rPr>
                <w:rFonts w:ascii="Calibri" w:hAnsi="Calibri"/>
                <w:sz w:val="20"/>
                <w:szCs w:val="20"/>
                <w:rtl/>
              </w:rPr>
            </w:pPr>
            <w:r w:rsidRPr="001A608C">
              <w:rPr>
                <w:rFonts w:ascii="Calibri" w:hAnsi="Calibri" w:hint="cs"/>
                <w:sz w:val="20"/>
                <w:szCs w:val="20"/>
                <w:rtl/>
              </w:rPr>
              <w:t xml:space="preserve">טקסט שחור </w:t>
            </w:r>
            <w:r w:rsidRPr="001A608C">
              <w:rPr>
                <w:rFonts w:ascii="Calibri" w:hAnsi="Calibri"/>
                <w:sz w:val="20"/>
                <w:szCs w:val="20"/>
                <w:rtl/>
              </w:rPr>
              <w:t>–</w:t>
            </w:r>
            <w:r w:rsidRPr="001A608C">
              <w:rPr>
                <w:rFonts w:ascii="Calibri" w:hAnsi="Calibri" w:hint="cs"/>
                <w:sz w:val="20"/>
                <w:szCs w:val="20"/>
                <w:rtl/>
              </w:rPr>
              <w:t xml:space="preserve"> טקסט מאושר</w:t>
            </w:r>
          </w:p>
          <w:p w:rsidR="006D77DD" w:rsidRPr="001A608C" w:rsidRDefault="006D77DD" w:rsidP="006D77DD">
            <w:pPr>
              <w:rPr>
                <w:rFonts w:ascii="Calibri" w:hAnsi="Calibri"/>
                <w:sz w:val="20"/>
                <w:szCs w:val="20"/>
                <w:rtl/>
              </w:rPr>
            </w:pPr>
            <w:r w:rsidRPr="001A608C">
              <w:rPr>
                <w:rFonts w:ascii="Calibri" w:hAnsi="Calibri" w:hint="cs"/>
                <w:color w:val="0000FF"/>
                <w:sz w:val="20"/>
                <w:szCs w:val="20"/>
                <w:u w:val="single"/>
                <w:rtl/>
              </w:rPr>
              <w:t>טקסט עם קו תחתי</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הוספת טקסט לעלון המאושר</w:t>
            </w:r>
          </w:p>
          <w:p w:rsidR="006D77DD" w:rsidRPr="001A608C" w:rsidRDefault="006D77DD" w:rsidP="006D77DD">
            <w:pPr>
              <w:rPr>
                <w:rFonts w:ascii="Calibri" w:hAnsi="Calibri"/>
                <w:sz w:val="20"/>
                <w:szCs w:val="20"/>
                <w:rtl/>
              </w:rPr>
            </w:pPr>
            <w:r w:rsidRPr="001A608C">
              <w:rPr>
                <w:rFonts w:ascii="Calibri" w:hAnsi="Calibri" w:hint="cs"/>
                <w:strike/>
                <w:color w:val="0000FF"/>
                <w:sz w:val="20"/>
                <w:szCs w:val="20"/>
                <w:rtl/>
              </w:rPr>
              <w:t>טקסט עם קו חוצה</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מחיקת טקסט מהעלון המאושר</w:t>
            </w:r>
          </w:p>
          <w:p w:rsidR="006D77DD" w:rsidRDefault="006D77DD" w:rsidP="006D77DD">
            <w:pPr>
              <w:rPr>
                <w:b/>
                <w:bCs/>
                <w:rtl/>
              </w:rPr>
            </w:pPr>
            <w:r w:rsidRPr="001A608C">
              <w:rPr>
                <w:rFonts w:ascii="Calibri" w:hAnsi="Calibri" w:hint="cs"/>
                <w:color w:val="0000FF"/>
                <w:sz w:val="20"/>
                <w:szCs w:val="20"/>
                <w:highlight w:val="yellow"/>
                <w:rtl/>
              </w:rPr>
              <w:t xml:space="preserve">טקסט המסומן בצהוב </w:t>
            </w:r>
            <w:r w:rsidRPr="001A608C">
              <w:rPr>
                <w:rFonts w:ascii="Calibri" w:hAnsi="Calibri"/>
                <w:sz w:val="20"/>
                <w:szCs w:val="20"/>
                <w:rtl/>
              </w:rPr>
              <w:t>–</w:t>
            </w:r>
            <w:r w:rsidRPr="001A608C">
              <w:rPr>
                <w:rFonts w:ascii="Calibri" w:hAnsi="Calibri" w:hint="cs"/>
                <w:sz w:val="20"/>
                <w:szCs w:val="20"/>
                <w:rtl/>
              </w:rPr>
              <w:t xml:space="preserve"> החמרה</w:t>
            </w:r>
          </w:p>
        </w:tc>
      </w:tr>
    </w:tbl>
    <w:p w:rsidR="006D77DD" w:rsidRPr="008E7296" w:rsidRDefault="006D77DD" w:rsidP="006D77DD">
      <w:pPr>
        <w:spacing w:line="360" w:lineRule="auto"/>
        <w:ind w:left="-694" w:firstLine="551"/>
      </w:pPr>
    </w:p>
    <w:tbl>
      <w:tblPr>
        <w:bidiVisual/>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44"/>
        <w:gridCol w:w="3870"/>
        <w:gridCol w:w="3870"/>
      </w:tblGrid>
      <w:tr w:rsidR="000C2846" w:rsidTr="001E3529">
        <w:trPr>
          <w:jc w:val="center"/>
        </w:trPr>
        <w:tc>
          <w:tcPr>
            <w:tcW w:w="9784" w:type="dxa"/>
            <w:gridSpan w:val="3"/>
            <w:shd w:val="pct12" w:color="auto" w:fill="FFFFFF"/>
            <w:vAlign w:val="center"/>
          </w:tcPr>
          <w:p w:rsidR="000C2846" w:rsidRDefault="00825FD2" w:rsidP="00F16A1D">
            <w:pPr>
              <w:jc w:val="center"/>
              <w:rPr>
                <w:rFonts w:cs="David Transparent"/>
                <w:b/>
                <w:bCs/>
                <w:rtl/>
              </w:rPr>
            </w:pPr>
            <w:r>
              <w:rPr>
                <w:rFonts w:cs="David Transparent" w:hint="cs"/>
                <w:b/>
                <w:bCs/>
                <w:rtl/>
              </w:rPr>
              <w:t>ההחמרות המבוקשות</w:t>
            </w:r>
          </w:p>
        </w:tc>
      </w:tr>
      <w:tr w:rsidR="000C2846" w:rsidTr="001E3529">
        <w:trPr>
          <w:jc w:val="center"/>
        </w:trPr>
        <w:tc>
          <w:tcPr>
            <w:tcW w:w="2044" w:type="dxa"/>
          </w:tcPr>
          <w:p w:rsidR="000C2846" w:rsidRDefault="000C2846" w:rsidP="00F16A1D">
            <w:pPr>
              <w:spacing w:before="60"/>
              <w:jc w:val="center"/>
              <w:rPr>
                <w:rFonts w:cs="David Transparent"/>
                <w:b/>
                <w:bCs/>
                <w:szCs w:val="22"/>
                <w:rtl/>
              </w:rPr>
            </w:pPr>
            <w:r>
              <w:rPr>
                <w:rFonts w:cs="David Transparent"/>
                <w:b/>
                <w:bCs/>
                <w:szCs w:val="22"/>
                <w:rtl/>
              </w:rPr>
              <w:t>פרק בעלון</w:t>
            </w:r>
          </w:p>
        </w:tc>
        <w:tc>
          <w:tcPr>
            <w:tcW w:w="3870" w:type="dxa"/>
          </w:tcPr>
          <w:p w:rsidR="000C2846" w:rsidRDefault="000C2846" w:rsidP="00F16A1D">
            <w:pPr>
              <w:spacing w:before="60"/>
              <w:jc w:val="center"/>
              <w:rPr>
                <w:rFonts w:cs="David Transparent"/>
                <w:b/>
                <w:bCs/>
                <w:szCs w:val="22"/>
                <w:rtl/>
              </w:rPr>
            </w:pPr>
            <w:r>
              <w:rPr>
                <w:rFonts w:cs="David Transparent"/>
                <w:b/>
                <w:bCs/>
                <w:szCs w:val="22"/>
                <w:rtl/>
              </w:rPr>
              <w:t>טקסט</w:t>
            </w:r>
            <w:r>
              <w:rPr>
                <w:rFonts w:cs="David Transparent" w:hint="cs"/>
                <w:b/>
                <w:bCs/>
                <w:szCs w:val="22"/>
                <w:rtl/>
              </w:rPr>
              <w:t xml:space="preserve"> נוכחי</w:t>
            </w:r>
          </w:p>
        </w:tc>
        <w:tc>
          <w:tcPr>
            <w:tcW w:w="3870" w:type="dxa"/>
          </w:tcPr>
          <w:p w:rsidR="000C2846" w:rsidRDefault="000C2846" w:rsidP="00F16A1D">
            <w:pPr>
              <w:spacing w:before="60"/>
              <w:jc w:val="center"/>
              <w:rPr>
                <w:rFonts w:cs="David Transparent"/>
                <w:b/>
                <w:bCs/>
                <w:szCs w:val="22"/>
                <w:rtl/>
              </w:rPr>
            </w:pPr>
            <w:r>
              <w:rPr>
                <w:rFonts w:cs="David Transparent"/>
                <w:b/>
                <w:bCs/>
                <w:szCs w:val="22"/>
                <w:rtl/>
              </w:rPr>
              <w:t>טקסט חדש</w:t>
            </w:r>
          </w:p>
        </w:tc>
      </w:tr>
      <w:tr w:rsidR="00616ABB" w:rsidTr="00A55FBE">
        <w:trPr>
          <w:jc w:val="center"/>
        </w:trPr>
        <w:tc>
          <w:tcPr>
            <w:tcW w:w="2044" w:type="dxa"/>
          </w:tcPr>
          <w:p w:rsidR="00616ABB" w:rsidRPr="002E7AF6" w:rsidRDefault="00616ABB" w:rsidP="006675BB">
            <w:pPr>
              <w:spacing w:before="60"/>
              <w:rPr>
                <w:b/>
                <w:bCs/>
                <w:rtl/>
              </w:rPr>
            </w:pPr>
            <w:r>
              <w:rPr>
                <w:rFonts w:hint="cs"/>
                <w:b/>
                <w:bCs/>
                <w:rtl/>
              </w:rPr>
              <w:t>אזהרות</w:t>
            </w:r>
            <w:r w:rsidR="008F32EA">
              <w:rPr>
                <w:rFonts w:hint="cs"/>
                <w:b/>
                <w:bCs/>
                <w:rtl/>
              </w:rPr>
              <w:t xml:space="preserve"> מיוחדות הנוגעות לשימוש בתרופה</w:t>
            </w:r>
          </w:p>
        </w:tc>
        <w:tc>
          <w:tcPr>
            <w:tcW w:w="3870" w:type="dxa"/>
          </w:tcPr>
          <w:p w:rsidR="00616ABB" w:rsidRPr="00616ABB" w:rsidRDefault="00616ABB" w:rsidP="00616ABB">
            <w:pPr>
              <w:rPr>
                <w:rtl/>
              </w:rPr>
            </w:pPr>
          </w:p>
        </w:tc>
        <w:tc>
          <w:tcPr>
            <w:tcW w:w="3870" w:type="dxa"/>
          </w:tcPr>
          <w:p w:rsidR="00A34503" w:rsidRPr="00A34503" w:rsidRDefault="00A34503" w:rsidP="0001599B">
            <w:pPr>
              <w:ind w:left="84"/>
              <w:rPr>
                <w:rFonts w:ascii="Arial" w:hAnsi="Arial"/>
                <w:color w:val="0000FF"/>
                <w:u w:val="single"/>
                <w:rtl/>
              </w:rPr>
            </w:pPr>
            <w:r w:rsidRPr="00A34503">
              <w:rPr>
                <w:rFonts w:ascii="Arial" w:hAnsi="Arial" w:hint="cs"/>
                <w:color w:val="0000FF"/>
                <w:highlight w:val="yellow"/>
                <w:u w:val="single"/>
                <w:rtl/>
              </w:rPr>
              <w:t xml:space="preserve">מצב הנקרא </w:t>
            </w:r>
            <w:r w:rsidRPr="00A34503">
              <w:rPr>
                <w:rFonts w:cs="Times New Roman"/>
                <w:color w:val="0000FF"/>
                <w:highlight w:val="yellow"/>
                <w:u w:val="single"/>
              </w:rPr>
              <w:t>posterior reversible encephalopathy syndrome (PRES)</w:t>
            </w:r>
            <w:r w:rsidRPr="00A34503">
              <w:rPr>
                <w:rFonts w:ascii="Arial" w:hAnsi="Arial" w:hint="cs"/>
                <w:color w:val="0000FF"/>
                <w:highlight w:val="yellow"/>
                <w:u w:val="single"/>
                <w:rtl/>
              </w:rPr>
              <w:t xml:space="preserve"> דווח בשכיחות נדירה בחולי טרשת נפוצה המטופלים בגילניה. התסמינים עשויים לכלול התחלה פתאומית של כאב ראש חמור, בלבול, </w:t>
            </w:r>
            <w:r w:rsidR="0001599B">
              <w:rPr>
                <w:rFonts w:ascii="Arial" w:hAnsi="Arial" w:hint="cs"/>
                <w:color w:val="0000FF"/>
                <w:highlight w:val="yellow"/>
                <w:u w:val="single"/>
                <w:rtl/>
              </w:rPr>
              <w:t>פרכוסים</w:t>
            </w:r>
            <w:r w:rsidRPr="00A34503">
              <w:rPr>
                <w:rFonts w:ascii="Arial" w:hAnsi="Arial" w:hint="cs"/>
                <w:color w:val="0000FF"/>
                <w:highlight w:val="yellow"/>
                <w:u w:val="single"/>
                <w:rtl/>
              </w:rPr>
              <w:t xml:space="preserve"> ושינויים בראייה. אמור לרופא שלך אם אתה חווה אחד מהתסמינים הללו במהלך הטיפול בגילניה</w:t>
            </w:r>
            <w:r w:rsidRPr="00A34503">
              <w:rPr>
                <w:rFonts w:ascii="Arial" w:hAnsi="Arial" w:hint="cs"/>
                <w:color w:val="0000FF"/>
                <w:u w:val="single"/>
                <w:rtl/>
              </w:rPr>
              <w:t>.</w:t>
            </w:r>
          </w:p>
          <w:p w:rsidR="00616ABB" w:rsidRPr="008F32EA" w:rsidRDefault="00616ABB" w:rsidP="00616ABB">
            <w:pPr>
              <w:rPr>
                <w:u w:val="single"/>
                <w:rtl/>
              </w:rPr>
            </w:pPr>
          </w:p>
        </w:tc>
      </w:tr>
      <w:tr w:rsidR="00E63EF9" w:rsidTr="00A55FBE">
        <w:trPr>
          <w:jc w:val="center"/>
        </w:trPr>
        <w:tc>
          <w:tcPr>
            <w:tcW w:w="2044" w:type="dxa"/>
          </w:tcPr>
          <w:p w:rsidR="00E63EF9" w:rsidRPr="002E7AF6" w:rsidRDefault="00A34503" w:rsidP="006675BB">
            <w:pPr>
              <w:spacing w:before="60"/>
              <w:rPr>
                <w:b/>
                <w:bCs/>
                <w:rtl/>
              </w:rPr>
            </w:pPr>
            <w:r>
              <w:rPr>
                <w:rFonts w:hint="cs"/>
                <w:b/>
                <w:bCs/>
                <w:rtl/>
              </w:rPr>
              <w:t>נטילת תרופות אחרות</w:t>
            </w:r>
          </w:p>
        </w:tc>
        <w:tc>
          <w:tcPr>
            <w:tcW w:w="3870" w:type="dxa"/>
          </w:tcPr>
          <w:p w:rsidR="00A34503" w:rsidRDefault="00A34503" w:rsidP="00A34503">
            <w:pPr>
              <w:rPr>
                <w:rFonts w:ascii="Arial" w:hAnsi="Arial"/>
                <w:rtl/>
              </w:rPr>
            </w:pPr>
            <w:r w:rsidRPr="00AB089E">
              <w:rPr>
                <w:rFonts w:ascii="Arial" w:hAnsi="Arial"/>
                <w:b/>
                <w:bCs/>
                <w:rtl/>
              </w:rPr>
              <w:t>תרופות המדכאות או המווסתות את המערכת החיסונית כולל תרופות אחרות לטיפול בטרשת נפוצה</w:t>
            </w:r>
            <w:r w:rsidRPr="00AB089E">
              <w:rPr>
                <w:rFonts w:ascii="Arial" w:hAnsi="Arial"/>
                <w:rtl/>
              </w:rPr>
              <w:t xml:space="preserve"> כגון ביתא-אינטרפרון, גלאטירמר אצטט, נטליזומאב או מיטוקסנטרון בגלל האפשרות להשפעה נוספת על המערכת החיסונית.</w:t>
            </w:r>
          </w:p>
          <w:p w:rsidR="00A34503" w:rsidRDefault="00A34503" w:rsidP="00A34503">
            <w:pPr>
              <w:rPr>
                <w:rFonts w:ascii="Arial" w:hAnsi="Arial"/>
                <w:rtl/>
              </w:rPr>
            </w:pPr>
          </w:p>
          <w:p w:rsidR="00A34503" w:rsidRPr="00AB089E" w:rsidRDefault="00A34503" w:rsidP="00A34503">
            <w:pPr>
              <w:rPr>
                <w:rFonts w:ascii="Arial" w:hAnsi="Arial"/>
              </w:rPr>
            </w:pPr>
          </w:p>
          <w:p w:rsidR="00E63EF9" w:rsidRPr="00E73C3D" w:rsidRDefault="00A34503" w:rsidP="00A34503">
            <w:pPr>
              <w:rPr>
                <w:b/>
                <w:bCs/>
                <w:rtl/>
              </w:rPr>
            </w:pPr>
            <w:r w:rsidRPr="00AB089E">
              <w:rPr>
                <w:rFonts w:ascii="Arial" w:hAnsi="Arial"/>
                <w:b/>
                <w:bCs/>
                <w:rtl/>
              </w:rPr>
              <w:t>חיסונים</w:t>
            </w:r>
            <w:r w:rsidRPr="00AB089E">
              <w:rPr>
                <w:rFonts w:ascii="Arial" w:hAnsi="Arial"/>
                <w:rtl/>
              </w:rPr>
              <w:t>. במהלך הטיפול ועד לחודשיים לאחר הטיפול בגילניה, מתן של חיסונים מסוימים המכילים נגיף חי עלול לגרום לזיהום שהחיסון אמור למנוע, בעוד שחיסונים אחרים עלולים לא לפעול היטב. יש לבדוק עם הרופא או הרוקח.</w:t>
            </w:r>
          </w:p>
        </w:tc>
        <w:tc>
          <w:tcPr>
            <w:tcW w:w="3870" w:type="dxa"/>
          </w:tcPr>
          <w:p w:rsidR="00A34503" w:rsidRDefault="00A34503" w:rsidP="00A34503">
            <w:pPr>
              <w:rPr>
                <w:rFonts w:ascii="Arial" w:hAnsi="Arial"/>
                <w:rtl/>
              </w:rPr>
            </w:pPr>
            <w:r w:rsidRPr="00AB089E">
              <w:rPr>
                <w:rFonts w:ascii="Arial" w:hAnsi="Arial"/>
                <w:b/>
                <w:bCs/>
                <w:rtl/>
              </w:rPr>
              <w:t>תרופות המדכאות או המווסתות את המערכת החיסונית כולל תרופות אחרות לטיפול בטרשת נפוצה</w:t>
            </w:r>
            <w:r w:rsidRPr="00AB089E">
              <w:rPr>
                <w:rFonts w:ascii="Arial" w:hAnsi="Arial"/>
                <w:rtl/>
              </w:rPr>
              <w:t xml:space="preserve"> כגון ביתא-אינטרפרון, גלאטירמר אצטט, נטליזומאב</w:t>
            </w:r>
            <w:r w:rsidRPr="00A34503">
              <w:rPr>
                <w:rFonts w:ascii="Arial" w:hAnsi="Arial" w:hint="cs"/>
                <w:color w:val="0000FF"/>
                <w:u w:val="single"/>
                <w:rtl/>
              </w:rPr>
              <w:t>,</w:t>
            </w:r>
            <w:r>
              <w:rPr>
                <w:rFonts w:ascii="Arial" w:hAnsi="Arial" w:hint="cs"/>
                <w:color w:val="0000FF"/>
                <w:u w:val="single"/>
                <w:rtl/>
              </w:rPr>
              <w:t xml:space="preserve"> </w:t>
            </w:r>
            <w:r w:rsidRPr="00A34503">
              <w:rPr>
                <w:rFonts w:ascii="Arial" w:hAnsi="Arial"/>
                <w:strike/>
                <w:color w:val="0000FF"/>
                <w:rtl/>
              </w:rPr>
              <w:t>או</w:t>
            </w:r>
            <w:r w:rsidRPr="00AB089E">
              <w:rPr>
                <w:rFonts w:ascii="Arial" w:hAnsi="Arial"/>
                <w:rtl/>
              </w:rPr>
              <w:t xml:space="preserve"> מיטוקסנטרון</w:t>
            </w:r>
            <w:r w:rsidRPr="00A34503">
              <w:rPr>
                <w:rFonts w:ascii="Arial" w:hAnsi="Arial" w:hint="cs"/>
                <w:color w:val="0000FF"/>
                <w:u w:val="single"/>
                <w:rtl/>
              </w:rPr>
              <w:t xml:space="preserve"> </w:t>
            </w:r>
            <w:r w:rsidRPr="00A34503">
              <w:rPr>
                <w:rFonts w:ascii="Arial" w:hAnsi="Arial" w:hint="cs"/>
                <w:color w:val="0000FF"/>
                <w:highlight w:val="yellow"/>
                <w:u w:val="single"/>
                <w:rtl/>
              </w:rPr>
              <w:t>או קורטיקוסטרואידים</w:t>
            </w:r>
            <w:r w:rsidRPr="00AB089E">
              <w:rPr>
                <w:rFonts w:ascii="Arial" w:hAnsi="Arial"/>
                <w:rtl/>
              </w:rPr>
              <w:t xml:space="preserve"> בגלל האפשרות להשפעה נוספת על המערכת החיסונית.</w:t>
            </w:r>
          </w:p>
          <w:p w:rsidR="00A34503" w:rsidRPr="00AB089E" w:rsidRDefault="00A34503" w:rsidP="00A34503">
            <w:pPr>
              <w:rPr>
                <w:rFonts w:ascii="Arial" w:hAnsi="Arial"/>
              </w:rPr>
            </w:pPr>
          </w:p>
          <w:p w:rsidR="00327098" w:rsidRPr="00871293" w:rsidRDefault="00A34503" w:rsidP="00A34503">
            <w:pPr>
              <w:rPr>
                <w:u w:val="single"/>
                <w:rtl/>
              </w:rPr>
            </w:pPr>
            <w:r w:rsidRPr="00AB089E">
              <w:rPr>
                <w:rFonts w:ascii="Arial" w:hAnsi="Arial"/>
                <w:b/>
                <w:bCs/>
                <w:rtl/>
              </w:rPr>
              <w:t>חיסונים</w:t>
            </w:r>
            <w:r w:rsidRPr="00AB089E">
              <w:rPr>
                <w:rFonts w:ascii="Arial" w:hAnsi="Arial"/>
                <w:rtl/>
              </w:rPr>
              <w:t xml:space="preserve">. </w:t>
            </w:r>
            <w:r w:rsidRPr="00A34503">
              <w:rPr>
                <w:rFonts w:ascii="Arial" w:hAnsi="Arial" w:hint="cs"/>
                <w:color w:val="0000FF"/>
                <w:highlight w:val="yellow"/>
                <w:u w:val="single"/>
                <w:rtl/>
              </w:rPr>
              <w:t>אם אתה צריך לקבל חיסון, פנה קודם לקבלת ייעוץ מהרופא שלך</w:t>
            </w:r>
            <w:r w:rsidRPr="00A34503">
              <w:rPr>
                <w:rFonts w:ascii="Arial" w:hAnsi="Arial" w:hint="cs"/>
                <w:color w:val="0000FF"/>
                <w:u w:val="single"/>
                <w:rtl/>
              </w:rPr>
              <w:t xml:space="preserve">. </w:t>
            </w:r>
            <w:r w:rsidRPr="00AB089E">
              <w:rPr>
                <w:rFonts w:ascii="Arial" w:hAnsi="Arial"/>
                <w:rtl/>
              </w:rPr>
              <w:t xml:space="preserve">במהלך הטיפול ועד לחודשיים לאחר הטיפול בגילניה, מתן של חיסונים מסוימים המכילים נגיף חי </w:t>
            </w:r>
            <w:r w:rsidRPr="00A34503">
              <w:rPr>
                <w:rFonts w:ascii="Arial" w:hAnsi="Arial"/>
                <w:color w:val="0000FF"/>
                <w:u w:val="single"/>
                <w:rtl/>
              </w:rPr>
              <w:t>(חיסונים מוחלשים חיים)</w:t>
            </w:r>
            <w:r w:rsidRPr="00A34503">
              <w:rPr>
                <w:rFonts w:ascii="Arial" w:hAnsi="Arial" w:hint="cs"/>
                <w:color w:val="0000FF"/>
                <w:u w:val="single"/>
                <w:rtl/>
              </w:rPr>
              <w:t xml:space="preserve"> </w:t>
            </w:r>
            <w:r w:rsidRPr="00AB089E">
              <w:rPr>
                <w:rFonts w:ascii="Arial" w:hAnsi="Arial"/>
                <w:rtl/>
              </w:rPr>
              <w:t>עלול לגרום לזיהום שהחיסון אמור למנוע, בעוד שחיסונים אחרים עלולים לא לפעול היטב. יש לבדוק עם הרופא או הרוקח.</w:t>
            </w:r>
          </w:p>
        </w:tc>
      </w:tr>
      <w:tr w:rsidR="00E63EF9" w:rsidTr="001E3529">
        <w:trPr>
          <w:jc w:val="center"/>
        </w:trPr>
        <w:tc>
          <w:tcPr>
            <w:tcW w:w="2044" w:type="dxa"/>
          </w:tcPr>
          <w:p w:rsidR="00E63EF9" w:rsidRDefault="001C0F9A" w:rsidP="006675BB">
            <w:pPr>
              <w:spacing w:before="60"/>
              <w:rPr>
                <w:rFonts w:cs="David Transparent"/>
                <w:b/>
                <w:bCs/>
                <w:szCs w:val="22"/>
                <w:rtl/>
              </w:rPr>
            </w:pPr>
            <w:r>
              <w:rPr>
                <w:rFonts w:hint="cs"/>
                <w:b/>
                <w:bCs/>
                <w:rtl/>
              </w:rPr>
              <w:t>תופעות לוואי</w:t>
            </w:r>
          </w:p>
        </w:tc>
        <w:tc>
          <w:tcPr>
            <w:tcW w:w="3870" w:type="dxa"/>
          </w:tcPr>
          <w:p w:rsidR="00E63EF9" w:rsidRPr="0094554B" w:rsidRDefault="0094554B" w:rsidP="00616ABB">
            <w:pPr>
              <w:rPr>
                <w:rFonts w:ascii="Arial" w:hAnsi="Arial"/>
                <w:b/>
                <w:bCs/>
                <w:rtl/>
              </w:rPr>
            </w:pPr>
            <w:r w:rsidRPr="0094554B">
              <w:rPr>
                <w:rFonts w:ascii="Arial" w:hAnsi="Arial"/>
                <w:b/>
                <w:bCs/>
                <w:rtl/>
              </w:rPr>
              <w:t>תופעות לוואי המחייבות התייחסות מיוחדת:</w:t>
            </w:r>
          </w:p>
          <w:p w:rsidR="0094554B" w:rsidRPr="00B95A99" w:rsidRDefault="0094554B" w:rsidP="0094554B">
            <w:pPr>
              <w:rPr>
                <w:rFonts w:ascii="Arial" w:hAnsi="Arial"/>
                <w:u w:val="single"/>
                <w:rtl/>
              </w:rPr>
            </w:pPr>
            <w:r w:rsidRPr="00B95A99">
              <w:rPr>
                <w:rFonts w:ascii="Arial" w:hAnsi="Arial" w:hint="cs"/>
                <w:u w:val="single"/>
                <w:rtl/>
              </w:rPr>
              <w:t>תופעות לוואי נדירות:</w:t>
            </w:r>
          </w:p>
          <w:p w:rsidR="0094554B" w:rsidRDefault="0094554B" w:rsidP="0094554B">
            <w:pPr>
              <w:rPr>
                <w:rtl/>
              </w:rPr>
            </w:pPr>
            <w:r w:rsidRPr="00B95A99">
              <w:rPr>
                <w:rFonts w:ascii="Arial" w:hAnsi="Arial" w:hint="cs"/>
                <w:rtl/>
              </w:rPr>
              <w:t xml:space="preserve">מצב הנקרא </w:t>
            </w:r>
            <w:r w:rsidRPr="00B95A99">
              <w:rPr>
                <w:rFonts w:cs="Times New Roman"/>
              </w:rPr>
              <w:t>posterior reversible encephalopathy syndrome (PRES)</w:t>
            </w:r>
            <w:r w:rsidRPr="00B95A99">
              <w:rPr>
                <w:rFonts w:hint="cs"/>
                <w:rtl/>
              </w:rPr>
              <w:t xml:space="preserve">. התסמינים האפשריים </w:t>
            </w:r>
            <w:r w:rsidRPr="00C36C14">
              <w:rPr>
                <w:rFonts w:hint="cs"/>
                <w:rtl/>
              </w:rPr>
              <w:t>הם כאב ראש</w:t>
            </w:r>
            <w:r w:rsidRPr="00B95A99">
              <w:rPr>
                <w:rFonts w:hint="cs"/>
                <w:rtl/>
              </w:rPr>
              <w:t>, בלבול, פרכוסים ו/או שינויים בראייה</w:t>
            </w:r>
          </w:p>
          <w:p w:rsidR="00433A2A" w:rsidRDefault="00433A2A" w:rsidP="0094554B">
            <w:pPr>
              <w:rPr>
                <w:rtl/>
              </w:rPr>
            </w:pPr>
            <w:r>
              <w:rPr>
                <w:rFonts w:hint="cs"/>
                <w:rtl/>
              </w:rPr>
              <w:t>...</w:t>
            </w:r>
          </w:p>
          <w:p w:rsidR="00433A2A" w:rsidRPr="00AB089E" w:rsidRDefault="00433A2A" w:rsidP="00433A2A">
            <w:pPr>
              <w:rPr>
                <w:rFonts w:ascii="Arial" w:hAnsi="Arial"/>
                <w:rtl/>
              </w:rPr>
            </w:pPr>
          </w:p>
          <w:p w:rsidR="00433A2A" w:rsidRDefault="00433A2A" w:rsidP="00433A2A">
            <w:pPr>
              <w:rPr>
                <w:rFonts w:ascii="Arial" w:hAnsi="Arial"/>
                <w:u w:val="single"/>
                <w:rtl/>
              </w:rPr>
            </w:pPr>
          </w:p>
          <w:p w:rsidR="00433A2A" w:rsidRPr="00AB089E" w:rsidRDefault="00433A2A" w:rsidP="00433A2A">
            <w:pPr>
              <w:rPr>
                <w:rFonts w:ascii="Arial" w:hAnsi="Arial"/>
                <w:u w:val="single"/>
                <w:rtl/>
              </w:rPr>
            </w:pPr>
            <w:r w:rsidRPr="00AB089E">
              <w:rPr>
                <w:rFonts w:ascii="Arial" w:hAnsi="Arial"/>
                <w:u w:val="single"/>
                <w:rtl/>
              </w:rPr>
              <w:t>תופעות לוואי שכיחות מאוד:</w:t>
            </w:r>
          </w:p>
          <w:p w:rsidR="00433A2A" w:rsidRDefault="00433A2A" w:rsidP="00433A2A">
            <w:pPr>
              <w:rPr>
                <w:rFonts w:ascii="Arial" w:hAnsi="Arial"/>
                <w:rtl/>
              </w:rPr>
            </w:pPr>
            <w:r>
              <w:rPr>
                <w:rFonts w:ascii="Arial" w:hAnsi="Arial" w:hint="cs"/>
                <w:rtl/>
              </w:rPr>
              <w:t>...</w:t>
            </w:r>
          </w:p>
          <w:p w:rsidR="00433A2A" w:rsidRPr="00AB089E" w:rsidRDefault="00433A2A" w:rsidP="00433A2A">
            <w:pPr>
              <w:rPr>
                <w:rFonts w:ascii="Arial" w:hAnsi="Arial"/>
                <w:rtl/>
              </w:rPr>
            </w:pPr>
          </w:p>
          <w:p w:rsidR="00433A2A" w:rsidRDefault="00433A2A" w:rsidP="00433A2A">
            <w:pPr>
              <w:rPr>
                <w:rFonts w:ascii="Arial" w:hAnsi="Arial"/>
                <w:u w:val="single"/>
                <w:rtl/>
              </w:rPr>
            </w:pPr>
          </w:p>
          <w:p w:rsidR="00433A2A" w:rsidRDefault="00433A2A" w:rsidP="00433A2A">
            <w:pPr>
              <w:rPr>
                <w:rFonts w:ascii="Arial" w:hAnsi="Arial"/>
                <w:u w:val="single"/>
                <w:rtl/>
              </w:rPr>
            </w:pPr>
          </w:p>
          <w:p w:rsidR="00433A2A" w:rsidRDefault="00433A2A" w:rsidP="00433A2A">
            <w:pPr>
              <w:rPr>
                <w:rFonts w:ascii="Arial" w:hAnsi="Arial"/>
                <w:u w:val="single"/>
                <w:rtl/>
              </w:rPr>
            </w:pPr>
          </w:p>
          <w:p w:rsidR="00433A2A" w:rsidRDefault="00433A2A" w:rsidP="00433A2A">
            <w:pPr>
              <w:rPr>
                <w:rFonts w:ascii="Arial" w:hAnsi="Arial"/>
                <w:u w:val="single"/>
                <w:rtl/>
              </w:rPr>
            </w:pPr>
          </w:p>
          <w:p w:rsidR="00433A2A" w:rsidRDefault="00433A2A" w:rsidP="00433A2A">
            <w:pPr>
              <w:rPr>
                <w:rFonts w:ascii="Arial" w:hAnsi="Arial"/>
                <w:u w:val="single"/>
                <w:rtl/>
              </w:rPr>
            </w:pPr>
          </w:p>
          <w:p w:rsidR="00433A2A" w:rsidRDefault="00433A2A" w:rsidP="00433A2A">
            <w:pPr>
              <w:rPr>
                <w:rFonts w:ascii="Arial" w:hAnsi="Arial"/>
                <w:u w:val="single"/>
                <w:rtl/>
              </w:rPr>
            </w:pPr>
          </w:p>
          <w:p w:rsidR="00433A2A" w:rsidRPr="00AB089E" w:rsidRDefault="00433A2A" w:rsidP="00433A2A">
            <w:pPr>
              <w:rPr>
                <w:rFonts w:ascii="Arial" w:hAnsi="Arial"/>
                <w:u w:val="single"/>
              </w:rPr>
            </w:pPr>
            <w:r w:rsidRPr="00AB089E">
              <w:rPr>
                <w:rFonts w:ascii="Arial" w:hAnsi="Arial"/>
                <w:u w:val="single"/>
                <w:rtl/>
              </w:rPr>
              <w:t>תופעות לוואי שכיחות:</w:t>
            </w:r>
          </w:p>
          <w:p w:rsidR="00433A2A" w:rsidRPr="00AB089E" w:rsidRDefault="00433A2A" w:rsidP="00433A2A">
            <w:pPr>
              <w:numPr>
                <w:ilvl w:val="0"/>
                <w:numId w:val="42"/>
              </w:numPr>
              <w:ind w:left="509" w:hanging="425"/>
              <w:rPr>
                <w:rFonts w:ascii="Arial" w:hAnsi="Arial"/>
              </w:rPr>
            </w:pPr>
            <w:r w:rsidRPr="00AB089E">
              <w:rPr>
                <w:rFonts w:ascii="Arial" w:hAnsi="Arial"/>
                <w:rtl/>
              </w:rPr>
              <w:t>הרגשת לחץ או כאב בלחיים ובמצח (סינוסיטיס)</w:t>
            </w:r>
          </w:p>
          <w:p w:rsidR="00433A2A" w:rsidRPr="00AB089E" w:rsidRDefault="00433A2A" w:rsidP="00433A2A">
            <w:pPr>
              <w:numPr>
                <w:ilvl w:val="0"/>
                <w:numId w:val="42"/>
              </w:numPr>
              <w:ind w:left="509" w:hanging="425"/>
              <w:rPr>
                <w:rFonts w:ascii="Arial" w:hAnsi="Arial"/>
              </w:rPr>
            </w:pPr>
            <w:r w:rsidRPr="00AB089E">
              <w:rPr>
                <w:rFonts w:ascii="Arial" w:hAnsi="Arial"/>
                <w:rtl/>
              </w:rPr>
              <w:t xml:space="preserve">זיהום מפטריה המשפיע על העור, השיער או הציפורניים (פטרת ציפורניים </w:t>
            </w:r>
            <w:r w:rsidRPr="001B7611">
              <w:rPr>
                <w:rFonts w:cs="Times New Roman"/>
              </w:rPr>
              <w:t>ringworm</w:t>
            </w:r>
            <w:r w:rsidRPr="00AB089E">
              <w:rPr>
                <w:rFonts w:ascii="Arial" w:hAnsi="Arial"/>
                <w:rtl/>
              </w:rPr>
              <w:t>)</w:t>
            </w:r>
          </w:p>
          <w:p w:rsidR="00433A2A" w:rsidRDefault="00433A2A" w:rsidP="00433A2A">
            <w:pPr>
              <w:ind w:left="84"/>
              <w:rPr>
                <w:rFonts w:ascii="Arial" w:hAnsi="Arial"/>
              </w:rPr>
            </w:pPr>
          </w:p>
          <w:p w:rsidR="00433A2A" w:rsidRDefault="00433A2A" w:rsidP="00433A2A">
            <w:pPr>
              <w:ind w:left="84"/>
              <w:rPr>
                <w:rFonts w:ascii="Arial" w:hAnsi="Arial"/>
              </w:rPr>
            </w:pPr>
          </w:p>
          <w:p w:rsidR="00433A2A" w:rsidRDefault="00433A2A" w:rsidP="00433A2A">
            <w:pPr>
              <w:ind w:left="84"/>
              <w:rPr>
                <w:rFonts w:ascii="Arial" w:hAnsi="Arial"/>
              </w:rPr>
            </w:pPr>
          </w:p>
          <w:p w:rsidR="00433A2A" w:rsidRDefault="00433A2A" w:rsidP="00433A2A">
            <w:pPr>
              <w:ind w:left="84"/>
              <w:rPr>
                <w:rFonts w:ascii="Arial" w:hAnsi="Arial"/>
              </w:rPr>
            </w:pPr>
          </w:p>
          <w:p w:rsidR="00433A2A" w:rsidRDefault="00433A2A" w:rsidP="00433A2A">
            <w:pPr>
              <w:ind w:left="84"/>
              <w:rPr>
                <w:rFonts w:ascii="Arial" w:hAnsi="Arial"/>
              </w:rPr>
            </w:pPr>
          </w:p>
          <w:p w:rsidR="00433A2A" w:rsidRDefault="00433A2A" w:rsidP="00433A2A">
            <w:pPr>
              <w:ind w:left="84"/>
              <w:rPr>
                <w:rFonts w:ascii="Arial" w:hAnsi="Arial"/>
              </w:rPr>
            </w:pPr>
          </w:p>
          <w:p w:rsidR="00433A2A" w:rsidRPr="00616ABB" w:rsidRDefault="00433A2A" w:rsidP="00433A2A">
            <w:pPr>
              <w:rPr>
                <w:rtl/>
              </w:rPr>
            </w:pPr>
          </w:p>
        </w:tc>
        <w:tc>
          <w:tcPr>
            <w:tcW w:w="3870" w:type="dxa"/>
          </w:tcPr>
          <w:p w:rsidR="0094554B" w:rsidRPr="00433A2A" w:rsidRDefault="0094554B" w:rsidP="0094554B">
            <w:r w:rsidRPr="00433A2A">
              <w:rPr>
                <w:rFonts w:ascii="Arial" w:hAnsi="Arial" w:hint="cs"/>
                <w:b/>
                <w:bCs/>
                <w:rtl/>
              </w:rPr>
              <w:lastRenderedPageBreak/>
              <w:t>תופעות לוואי מסוימות עשויות להיות חמורות או להפוך לחמורות:</w:t>
            </w:r>
          </w:p>
          <w:p w:rsidR="0094554B" w:rsidRPr="00B95A99" w:rsidRDefault="0094554B" w:rsidP="0094554B">
            <w:pPr>
              <w:rPr>
                <w:rFonts w:ascii="Arial" w:hAnsi="Arial"/>
                <w:u w:val="single"/>
                <w:rtl/>
              </w:rPr>
            </w:pPr>
            <w:r w:rsidRPr="00B95A99">
              <w:rPr>
                <w:rFonts w:ascii="Arial" w:hAnsi="Arial" w:hint="cs"/>
                <w:u w:val="single"/>
                <w:rtl/>
              </w:rPr>
              <w:t>תופעות לוואי נדירות:</w:t>
            </w:r>
          </w:p>
          <w:p w:rsidR="0094554B" w:rsidRPr="00B95A99" w:rsidRDefault="0094554B" w:rsidP="0094554B">
            <w:pPr>
              <w:rPr>
                <w:rFonts w:ascii="Arial" w:hAnsi="Arial"/>
                <w:rtl/>
              </w:rPr>
            </w:pPr>
            <w:r w:rsidRPr="00B95A99">
              <w:rPr>
                <w:rFonts w:ascii="Arial" w:hAnsi="Arial" w:hint="cs"/>
                <w:rtl/>
              </w:rPr>
              <w:t xml:space="preserve">מצב הנקרא </w:t>
            </w:r>
            <w:r w:rsidRPr="00B95A99">
              <w:rPr>
                <w:rFonts w:cs="Times New Roman"/>
              </w:rPr>
              <w:t>posterior reversible encephalopathy syndrome (PRES)</w:t>
            </w:r>
            <w:r w:rsidRPr="00B95A99">
              <w:rPr>
                <w:rFonts w:hint="cs"/>
                <w:rtl/>
              </w:rPr>
              <w:t xml:space="preserve">. התסמינים </w:t>
            </w:r>
            <w:r w:rsidRPr="0094554B">
              <w:rPr>
                <w:rFonts w:hint="cs"/>
                <w:strike/>
                <w:color w:val="0000FF"/>
                <w:rtl/>
              </w:rPr>
              <w:t>האפשריים הם</w:t>
            </w:r>
            <w:r w:rsidRPr="0094554B">
              <w:rPr>
                <w:rFonts w:hint="cs"/>
                <w:color w:val="0000FF"/>
                <w:u w:val="single"/>
                <w:rtl/>
              </w:rPr>
              <w:t xml:space="preserve">עשויים לכלול </w:t>
            </w:r>
            <w:r w:rsidRPr="0094554B">
              <w:rPr>
                <w:rFonts w:hint="cs"/>
                <w:color w:val="0000FF"/>
                <w:highlight w:val="yellow"/>
                <w:u w:val="single"/>
                <w:rtl/>
              </w:rPr>
              <w:t>התחלה פתאומית של</w:t>
            </w:r>
            <w:r w:rsidRPr="00CF6E2D">
              <w:rPr>
                <w:rFonts w:hint="cs"/>
                <w:highlight w:val="yellow"/>
                <w:rtl/>
              </w:rPr>
              <w:t xml:space="preserve"> כאב ראש</w:t>
            </w:r>
            <w:r w:rsidRPr="0094554B">
              <w:rPr>
                <w:rFonts w:hint="cs"/>
                <w:color w:val="0000FF"/>
                <w:highlight w:val="yellow"/>
                <w:u w:val="single"/>
                <w:rtl/>
              </w:rPr>
              <w:t xml:space="preserve"> חמור</w:t>
            </w:r>
            <w:r w:rsidRPr="00B95A99">
              <w:rPr>
                <w:rFonts w:hint="cs"/>
                <w:rtl/>
              </w:rPr>
              <w:t>, בלבול, פרכוסים ו</w:t>
            </w:r>
            <w:r w:rsidRPr="0094554B">
              <w:rPr>
                <w:rFonts w:hint="cs"/>
                <w:strike/>
                <w:color w:val="0000FF"/>
                <w:rtl/>
              </w:rPr>
              <w:t xml:space="preserve">/או </w:t>
            </w:r>
            <w:r w:rsidRPr="00B95A99">
              <w:rPr>
                <w:rFonts w:hint="cs"/>
                <w:rtl/>
              </w:rPr>
              <w:t>שינויים בראייה</w:t>
            </w:r>
          </w:p>
          <w:p w:rsidR="00E63EF9" w:rsidRPr="00433A2A" w:rsidRDefault="00433A2A" w:rsidP="00616ABB">
            <w:pPr>
              <w:rPr>
                <w:rtl/>
              </w:rPr>
            </w:pPr>
            <w:r w:rsidRPr="00433A2A">
              <w:rPr>
                <w:rFonts w:hint="cs"/>
                <w:rtl/>
              </w:rPr>
              <w:t>...</w:t>
            </w:r>
          </w:p>
          <w:p w:rsidR="00433A2A" w:rsidRPr="00433A2A" w:rsidRDefault="00433A2A" w:rsidP="00433A2A">
            <w:pPr>
              <w:rPr>
                <w:rFonts w:ascii="Arial" w:hAnsi="Arial"/>
                <w:color w:val="0000FF"/>
                <w:u w:val="single"/>
                <w:rtl/>
              </w:rPr>
            </w:pPr>
            <w:r w:rsidRPr="00433A2A">
              <w:rPr>
                <w:rFonts w:ascii="Arial" w:hAnsi="Arial" w:hint="cs"/>
                <w:color w:val="0000FF"/>
                <w:u w:val="single"/>
                <w:rtl/>
              </w:rPr>
              <w:t>תופעות לוואי נוספות</w:t>
            </w:r>
          </w:p>
          <w:p w:rsidR="00433A2A" w:rsidRPr="00AB089E" w:rsidRDefault="00433A2A" w:rsidP="00433A2A">
            <w:pPr>
              <w:rPr>
                <w:rFonts w:ascii="Arial" w:hAnsi="Arial"/>
                <w:u w:val="single"/>
                <w:rtl/>
              </w:rPr>
            </w:pPr>
            <w:r w:rsidRPr="00AB089E">
              <w:rPr>
                <w:rFonts w:ascii="Arial" w:hAnsi="Arial"/>
                <w:u w:val="single"/>
                <w:rtl/>
              </w:rPr>
              <w:t>תופעות לוואי שכיחות מאוד:</w:t>
            </w:r>
          </w:p>
          <w:p w:rsidR="00433A2A" w:rsidRPr="00433A2A" w:rsidRDefault="00433A2A" w:rsidP="00433A2A">
            <w:pPr>
              <w:ind w:left="84"/>
              <w:rPr>
                <w:rFonts w:ascii="Arial" w:hAnsi="Arial"/>
              </w:rPr>
            </w:pPr>
            <w:r>
              <w:rPr>
                <w:rFonts w:ascii="Arial" w:hAnsi="Arial" w:hint="cs"/>
                <w:rtl/>
              </w:rPr>
              <w:t>...</w:t>
            </w:r>
          </w:p>
          <w:p w:rsidR="00433A2A" w:rsidRPr="00AB089E" w:rsidRDefault="00433A2A" w:rsidP="00433A2A">
            <w:pPr>
              <w:numPr>
                <w:ilvl w:val="0"/>
                <w:numId w:val="42"/>
              </w:numPr>
              <w:ind w:left="509" w:hanging="425"/>
              <w:rPr>
                <w:rFonts w:ascii="Arial" w:hAnsi="Arial"/>
              </w:rPr>
            </w:pPr>
            <w:r w:rsidRPr="00433A2A">
              <w:rPr>
                <w:rFonts w:ascii="Arial" w:hAnsi="Arial" w:hint="cs"/>
                <w:color w:val="0000FF"/>
                <w:highlight w:val="yellow"/>
                <w:u w:val="single"/>
                <w:rtl/>
              </w:rPr>
              <w:lastRenderedPageBreak/>
              <w:t>הרגשת לחץ או כאב בלחיים ובמצח (סינוסיטיס)</w:t>
            </w:r>
          </w:p>
          <w:p w:rsidR="00433A2A" w:rsidRPr="00433A2A" w:rsidRDefault="00433A2A" w:rsidP="00433A2A">
            <w:pPr>
              <w:ind w:left="84"/>
              <w:rPr>
                <w:rFonts w:ascii="Arial" w:hAnsi="Arial"/>
              </w:rPr>
            </w:pPr>
            <w:r>
              <w:rPr>
                <w:rFonts w:ascii="Arial" w:hAnsi="Arial" w:hint="cs"/>
                <w:rtl/>
              </w:rPr>
              <w:t>...</w:t>
            </w:r>
          </w:p>
          <w:p w:rsidR="00433A2A" w:rsidRPr="00AB089E" w:rsidRDefault="00433A2A" w:rsidP="00433A2A">
            <w:pPr>
              <w:numPr>
                <w:ilvl w:val="0"/>
                <w:numId w:val="42"/>
              </w:numPr>
              <w:ind w:left="509" w:hanging="425"/>
              <w:rPr>
                <w:rFonts w:ascii="Arial" w:hAnsi="Arial"/>
              </w:rPr>
            </w:pPr>
            <w:r w:rsidRPr="00433A2A">
              <w:rPr>
                <w:rFonts w:ascii="Arial" w:hAnsi="Arial" w:hint="cs"/>
                <w:color w:val="0000FF"/>
                <w:highlight w:val="yellow"/>
                <w:u w:val="single"/>
                <w:rtl/>
              </w:rPr>
              <w:t>בדיקות דם המראות רמות גבוהות יותר של אנזימי כבד</w:t>
            </w:r>
          </w:p>
          <w:p w:rsidR="00433A2A" w:rsidRPr="00AB089E" w:rsidRDefault="00433A2A" w:rsidP="00433A2A">
            <w:pPr>
              <w:rPr>
                <w:rFonts w:ascii="Arial" w:hAnsi="Arial"/>
                <w:rtl/>
              </w:rPr>
            </w:pPr>
          </w:p>
          <w:p w:rsidR="00433A2A" w:rsidRPr="00AB089E" w:rsidRDefault="00433A2A" w:rsidP="00433A2A">
            <w:pPr>
              <w:rPr>
                <w:rFonts w:ascii="Arial" w:hAnsi="Arial"/>
                <w:u w:val="single"/>
              </w:rPr>
            </w:pPr>
            <w:r w:rsidRPr="00AB089E">
              <w:rPr>
                <w:rFonts w:ascii="Arial" w:hAnsi="Arial"/>
                <w:u w:val="single"/>
                <w:rtl/>
              </w:rPr>
              <w:t>תופעות לוואי שכיחות:</w:t>
            </w:r>
          </w:p>
          <w:p w:rsidR="00433A2A" w:rsidRPr="00433A2A" w:rsidRDefault="00433A2A" w:rsidP="00433A2A">
            <w:pPr>
              <w:numPr>
                <w:ilvl w:val="0"/>
                <w:numId w:val="42"/>
              </w:numPr>
              <w:ind w:left="509" w:hanging="425"/>
              <w:rPr>
                <w:rFonts w:ascii="Arial" w:hAnsi="Arial"/>
                <w:strike/>
                <w:color w:val="0000FF"/>
              </w:rPr>
            </w:pPr>
            <w:r w:rsidRPr="00433A2A">
              <w:rPr>
                <w:rFonts w:ascii="Arial" w:hAnsi="Arial"/>
                <w:strike/>
                <w:color w:val="0000FF"/>
                <w:rtl/>
              </w:rPr>
              <w:t>הרגשת לחץ או כאב בלחיים ובמצח (סינוסיטיס)</w:t>
            </w:r>
          </w:p>
          <w:p w:rsidR="00433A2A" w:rsidRPr="00AB089E" w:rsidRDefault="00433A2A" w:rsidP="00433A2A">
            <w:pPr>
              <w:numPr>
                <w:ilvl w:val="0"/>
                <w:numId w:val="42"/>
              </w:numPr>
              <w:ind w:left="509" w:hanging="425"/>
              <w:rPr>
                <w:rFonts w:ascii="Arial" w:hAnsi="Arial"/>
              </w:rPr>
            </w:pPr>
            <w:r w:rsidRPr="00433A2A">
              <w:rPr>
                <w:rFonts w:ascii="Arial" w:hAnsi="Arial"/>
                <w:strike/>
                <w:color w:val="0000FF"/>
                <w:rtl/>
              </w:rPr>
              <w:t>זיהום מפטריה המשפיע על העור, השיער או הציפורניים (</w:t>
            </w:r>
            <w:r w:rsidRPr="00AB089E">
              <w:rPr>
                <w:rFonts w:ascii="Arial" w:hAnsi="Arial"/>
                <w:rtl/>
              </w:rPr>
              <w:t xml:space="preserve">פטרת ציפורניים </w:t>
            </w:r>
            <w:r w:rsidRPr="00433A2A">
              <w:rPr>
                <w:rFonts w:ascii="Arial" w:hAnsi="Arial" w:hint="cs"/>
                <w:color w:val="0000FF"/>
                <w:u w:val="single"/>
                <w:rtl/>
              </w:rPr>
              <w:t>(</w:t>
            </w:r>
            <w:r w:rsidRPr="001B7611">
              <w:rPr>
                <w:rFonts w:cs="Times New Roman"/>
              </w:rPr>
              <w:t>ringworm</w:t>
            </w:r>
            <w:r w:rsidRPr="00AB089E">
              <w:rPr>
                <w:rFonts w:ascii="Arial" w:hAnsi="Arial"/>
                <w:rtl/>
              </w:rPr>
              <w:t>)</w:t>
            </w:r>
            <w:r w:rsidRPr="00433A2A">
              <w:rPr>
                <w:rFonts w:ascii="Arial" w:hAnsi="Arial" w:hint="cs"/>
                <w:color w:val="0000FF"/>
                <w:u w:val="single"/>
                <w:rtl/>
              </w:rPr>
              <w:t xml:space="preserve">, </w:t>
            </w:r>
            <w:r w:rsidRPr="00433A2A">
              <w:rPr>
                <w:rFonts w:ascii="Arial" w:hAnsi="Arial" w:hint="cs"/>
                <w:color w:val="0000FF"/>
                <w:highlight w:val="yellow"/>
                <w:u w:val="single"/>
                <w:rtl/>
              </w:rPr>
              <w:t xml:space="preserve">זיהום פטרייתי של העור (פטריית שמש </w:t>
            </w:r>
            <w:proofErr w:type="spellStart"/>
            <w:r w:rsidRPr="00433A2A">
              <w:rPr>
                <w:rFonts w:cs="Times New Roman"/>
                <w:color w:val="0000FF"/>
                <w:highlight w:val="yellow"/>
                <w:u w:val="single"/>
              </w:rPr>
              <w:t>tinea</w:t>
            </w:r>
            <w:proofErr w:type="spellEnd"/>
            <w:r w:rsidRPr="00433A2A">
              <w:rPr>
                <w:rFonts w:cs="Times New Roman"/>
                <w:color w:val="0000FF"/>
                <w:highlight w:val="yellow"/>
                <w:u w:val="single"/>
              </w:rPr>
              <w:t xml:space="preserve"> </w:t>
            </w:r>
            <w:proofErr w:type="spellStart"/>
            <w:r w:rsidRPr="00433A2A">
              <w:rPr>
                <w:rFonts w:cs="Times New Roman"/>
                <w:color w:val="0000FF"/>
                <w:highlight w:val="yellow"/>
                <w:u w:val="single"/>
              </w:rPr>
              <w:t>versicolor</w:t>
            </w:r>
            <w:proofErr w:type="spellEnd"/>
            <w:r w:rsidRPr="00433A2A">
              <w:rPr>
                <w:rFonts w:ascii="Arial" w:hAnsi="Arial" w:hint="cs"/>
                <w:color w:val="0000FF"/>
                <w:highlight w:val="yellow"/>
                <w:u w:val="single"/>
                <w:rtl/>
              </w:rPr>
              <w:t>)</w:t>
            </w:r>
          </w:p>
          <w:p w:rsidR="00433A2A" w:rsidRDefault="00433A2A" w:rsidP="00433A2A">
            <w:pPr>
              <w:ind w:left="84"/>
              <w:rPr>
                <w:rFonts w:ascii="Arial" w:hAnsi="Arial"/>
              </w:rPr>
            </w:pPr>
            <w:r>
              <w:rPr>
                <w:rFonts w:ascii="Arial" w:hAnsi="Arial" w:hint="cs"/>
                <w:rtl/>
              </w:rPr>
              <w:t>...</w:t>
            </w:r>
          </w:p>
          <w:p w:rsidR="00433A2A" w:rsidRPr="00433A2A" w:rsidRDefault="00433A2A" w:rsidP="00433A2A">
            <w:pPr>
              <w:numPr>
                <w:ilvl w:val="0"/>
                <w:numId w:val="42"/>
              </w:numPr>
              <w:ind w:left="509" w:hanging="425"/>
              <w:rPr>
                <w:rFonts w:ascii="Arial" w:hAnsi="Arial"/>
                <w:color w:val="0000FF"/>
                <w:u w:val="single"/>
              </w:rPr>
            </w:pPr>
            <w:r w:rsidRPr="00433A2A">
              <w:rPr>
                <w:rFonts w:ascii="Arial" w:hAnsi="Arial" w:hint="cs"/>
                <w:color w:val="0000FF"/>
                <w:highlight w:val="yellow"/>
                <w:u w:val="single"/>
                <w:rtl/>
              </w:rPr>
              <w:t>עלייה ברמת השומנים בדם (טריגליצרידים)</w:t>
            </w:r>
          </w:p>
          <w:p w:rsidR="00433A2A" w:rsidRPr="00AB089E" w:rsidRDefault="00433A2A" w:rsidP="00433A2A">
            <w:pPr>
              <w:ind w:left="84"/>
              <w:rPr>
                <w:rFonts w:ascii="Arial" w:hAnsi="Arial"/>
              </w:rPr>
            </w:pPr>
            <w:r>
              <w:rPr>
                <w:rFonts w:ascii="Arial" w:hAnsi="Arial" w:hint="cs"/>
                <w:rtl/>
              </w:rPr>
              <w:t>...</w:t>
            </w:r>
          </w:p>
          <w:p w:rsidR="00433A2A" w:rsidRPr="00433A2A" w:rsidRDefault="00433A2A" w:rsidP="00433A2A">
            <w:pPr>
              <w:numPr>
                <w:ilvl w:val="0"/>
                <w:numId w:val="42"/>
              </w:numPr>
              <w:ind w:left="509" w:hanging="425"/>
              <w:rPr>
                <w:rFonts w:ascii="Arial" w:hAnsi="Arial"/>
                <w:u w:val="single"/>
                <w:rtl/>
              </w:rPr>
            </w:pPr>
            <w:r w:rsidRPr="00433A2A">
              <w:rPr>
                <w:rFonts w:ascii="Arial" w:hAnsi="Arial" w:hint="cs"/>
                <w:color w:val="0000FF"/>
                <w:highlight w:val="yellow"/>
                <w:u w:val="single"/>
                <w:rtl/>
              </w:rPr>
              <w:t>רמה נמוכה של תאי דם לבנים (לימפופניה, לאוקופניה)</w:t>
            </w:r>
          </w:p>
          <w:p w:rsidR="00433A2A" w:rsidRPr="006245C2" w:rsidRDefault="00433A2A" w:rsidP="00616ABB">
            <w:pPr>
              <w:rPr>
                <w:color w:val="0000FF"/>
                <w:u w:val="single"/>
                <w:rtl/>
              </w:rPr>
            </w:pPr>
          </w:p>
        </w:tc>
      </w:tr>
    </w:tbl>
    <w:p w:rsidR="000C2846" w:rsidRDefault="000C2846" w:rsidP="00766AE2">
      <w:pPr>
        <w:ind w:left="-143" w:right="-142"/>
        <w:rPr>
          <w:rFonts w:cs="David Transparent"/>
          <w:sz w:val="18"/>
          <w:szCs w:val="18"/>
        </w:rPr>
      </w:pPr>
    </w:p>
    <w:p w:rsidR="00766AE2" w:rsidRDefault="00766AE2" w:rsidP="00766AE2">
      <w:pPr>
        <w:ind w:left="-143" w:right="-142"/>
        <w:rPr>
          <w:rFonts w:cs="David Transparent"/>
          <w:sz w:val="18"/>
          <w:szCs w:val="18"/>
        </w:rPr>
      </w:pPr>
    </w:p>
    <w:p w:rsidR="00766AE2" w:rsidRDefault="00766AE2" w:rsidP="00766AE2">
      <w:pPr>
        <w:ind w:left="-143" w:right="-142"/>
        <w:rPr>
          <w:rFonts w:cs="David Transparent"/>
          <w:sz w:val="18"/>
          <w:szCs w:val="18"/>
        </w:rPr>
      </w:pPr>
    </w:p>
    <w:p w:rsidR="00766AE2" w:rsidRDefault="00766AE2" w:rsidP="00766AE2">
      <w:pPr>
        <w:ind w:left="-143" w:right="-142"/>
        <w:rPr>
          <w:rFonts w:cs="David Transparent"/>
          <w:sz w:val="18"/>
          <w:szCs w:val="18"/>
        </w:rPr>
      </w:pPr>
    </w:p>
    <w:p w:rsidR="00766AE2" w:rsidRDefault="00766AE2" w:rsidP="00766AE2">
      <w:pPr>
        <w:ind w:left="-143" w:right="-142"/>
        <w:rPr>
          <w:rFonts w:cs="David Transparent"/>
          <w:sz w:val="18"/>
          <w:szCs w:val="18"/>
        </w:rPr>
      </w:pPr>
    </w:p>
    <w:p w:rsidR="00766AE2" w:rsidRDefault="00766AE2" w:rsidP="00766AE2">
      <w:pPr>
        <w:ind w:left="-143" w:right="-142"/>
        <w:rPr>
          <w:rFonts w:cs="David Transparent"/>
          <w:sz w:val="18"/>
          <w:szCs w:val="18"/>
        </w:rPr>
      </w:pPr>
    </w:p>
    <w:p w:rsidR="00766AE2" w:rsidRDefault="00766AE2" w:rsidP="00766AE2">
      <w:pPr>
        <w:ind w:left="-143" w:right="-142"/>
        <w:rPr>
          <w:rFonts w:cs="David Transparent"/>
          <w:sz w:val="18"/>
          <w:szCs w:val="18"/>
          <w:rtl/>
        </w:rPr>
      </w:pPr>
    </w:p>
    <w:p w:rsidR="001E3529" w:rsidRPr="00F40637" w:rsidRDefault="001E3529" w:rsidP="00766AE2">
      <w:pPr>
        <w:ind w:right="-142"/>
        <w:rPr>
          <w:rFonts w:cs="David Transparent"/>
          <w:sz w:val="18"/>
          <w:szCs w:val="18"/>
          <w:rtl/>
        </w:rPr>
      </w:pPr>
    </w:p>
    <w:sectPr w:rsidR="001E3529" w:rsidRPr="00F40637" w:rsidSect="0025070D">
      <w:footerReference w:type="default" r:id="rId9"/>
      <w:type w:val="continuous"/>
      <w:pgSz w:w="11906" w:h="16838" w:code="9"/>
      <w:pgMar w:top="851"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43" w:rsidRDefault="006E4743">
      <w:r>
        <w:separator/>
      </w:r>
    </w:p>
  </w:endnote>
  <w:endnote w:type="continuationSeparator" w:id="0">
    <w:p w:rsidR="006E4743" w:rsidRDefault="006E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abon">
    <w:altName w:val="Constantia"/>
    <w:charset w:val="00"/>
    <w:family w:val="roman"/>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vid Transparent">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98" w:rsidRPr="00021BE4" w:rsidRDefault="00327098" w:rsidP="00021BE4">
    <w:pPr>
      <w:pStyle w:val="a5"/>
      <w:jc w:val="center"/>
      <w:rPr>
        <w:sz w:val="22"/>
        <w:szCs w:val="22"/>
      </w:rPr>
    </w:pPr>
    <w:r w:rsidRPr="00021BE4">
      <w:rPr>
        <w:sz w:val="22"/>
        <w:szCs w:val="22"/>
      </w:rPr>
      <w:fldChar w:fldCharType="begin"/>
    </w:r>
    <w:r w:rsidRPr="00021BE4">
      <w:rPr>
        <w:sz w:val="22"/>
        <w:szCs w:val="22"/>
      </w:rPr>
      <w:instrText xml:space="preserve"> PAGE   \* MERGEFORMAT </w:instrText>
    </w:r>
    <w:r w:rsidRPr="00021BE4">
      <w:rPr>
        <w:sz w:val="22"/>
        <w:szCs w:val="22"/>
      </w:rPr>
      <w:fldChar w:fldCharType="separate"/>
    </w:r>
    <w:r w:rsidR="00282BB0">
      <w:rPr>
        <w:noProof/>
        <w:sz w:val="22"/>
        <w:szCs w:val="22"/>
        <w:rtl/>
      </w:rPr>
      <w:t>1</w:t>
    </w:r>
    <w:r w:rsidRPr="00021BE4">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43" w:rsidRDefault="006E4743">
      <w:r>
        <w:separator/>
      </w:r>
    </w:p>
  </w:footnote>
  <w:footnote w:type="continuationSeparator" w:id="0">
    <w:p w:rsidR="006E4743" w:rsidRDefault="006E4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EA0"/>
    <w:multiLevelType w:val="hybridMultilevel"/>
    <w:tmpl w:val="DB6C6C42"/>
    <w:lvl w:ilvl="0" w:tplc="37960534">
      <w:numFmt w:val="bullet"/>
      <w:lvlText w:val=""/>
      <w:lvlJc w:val="left"/>
      <w:pPr>
        <w:ind w:left="777" w:hanging="360"/>
      </w:pPr>
      <w:rPr>
        <w:rFonts w:ascii="Wingdings" w:eastAsia="Times New Roman" w:hAnsi="Wingdings" w:cs="David" w:hint="default"/>
        <w:sz w:val="24"/>
        <w:szCs w:val="24"/>
        <w:lang w:bidi="he-IL"/>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017A4814"/>
    <w:multiLevelType w:val="hybridMultilevel"/>
    <w:tmpl w:val="D4ECF668"/>
    <w:lvl w:ilvl="0" w:tplc="E5128B48">
      <w:start w:val="8"/>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5627C"/>
    <w:multiLevelType w:val="hybridMultilevel"/>
    <w:tmpl w:val="1506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B2335"/>
    <w:multiLevelType w:val="multilevel"/>
    <w:tmpl w:val="077A2960"/>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561070"/>
    <w:multiLevelType w:val="hybridMultilevel"/>
    <w:tmpl w:val="3AFA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E673C"/>
    <w:multiLevelType w:val="hybridMultilevel"/>
    <w:tmpl w:val="8F1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C6643"/>
    <w:multiLevelType w:val="hybridMultilevel"/>
    <w:tmpl w:val="E594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A3675"/>
    <w:multiLevelType w:val="hybridMultilevel"/>
    <w:tmpl w:val="C600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362C4"/>
    <w:multiLevelType w:val="hybridMultilevel"/>
    <w:tmpl w:val="2AE4F6FA"/>
    <w:lvl w:ilvl="0" w:tplc="04090001">
      <w:start w:val="1"/>
      <w:numFmt w:val="bullet"/>
      <w:lvlText w:val=""/>
      <w:lvlJc w:val="left"/>
      <w:pPr>
        <w:tabs>
          <w:tab w:val="num" w:pos="1080"/>
        </w:tabs>
        <w:ind w:left="1080" w:hanging="360"/>
      </w:pPr>
      <w:rPr>
        <w:rFonts w:ascii="Symbol" w:hAnsi="Symbol" w:hint="default"/>
      </w:rPr>
    </w:lvl>
    <w:lvl w:ilvl="1" w:tplc="438EFF6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3EB2989"/>
    <w:multiLevelType w:val="hybridMultilevel"/>
    <w:tmpl w:val="8FA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64379"/>
    <w:multiLevelType w:val="hybridMultilevel"/>
    <w:tmpl w:val="EE8C342C"/>
    <w:lvl w:ilvl="0" w:tplc="0A6AE8AA">
      <w:start w:val="1"/>
      <w:numFmt w:val="bullet"/>
      <w:lvlText w:val=""/>
      <w:lvlJc w:val="left"/>
      <w:pPr>
        <w:tabs>
          <w:tab w:val="num" w:pos="720"/>
        </w:tabs>
        <w:ind w:left="720" w:hanging="360"/>
      </w:pPr>
      <w:rPr>
        <w:rFonts w:ascii="Symbol" w:hAnsi="Symbol" w:hint="default"/>
        <w:strike w:val="0"/>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32160B"/>
    <w:multiLevelType w:val="hybridMultilevel"/>
    <w:tmpl w:val="92D45E74"/>
    <w:lvl w:ilvl="0" w:tplc="0409000F">
      <w:start w:val="1"/>
      <w:numFmt w:val="decimal"/>
      <w:lvlText w:val="%1."/>
      <w:lvlJc w:val="left"/>
      <w:pPr>
        <w:tabs>
          <w:tab w:val="num" w:pos="1297"/>
        </w:tabs>
        <w:ind w:left="1297" w:hanging="360"/>
      </w:pPr>
    </w:lvl>
    <w:lvl w:ilvl="1" w:tplc="04090019" w:tentative="1">
      <w:start w:val="1"/>
      <w:numFmt w:val="lowerLetter"/>
      <w:lvlText w:val="%2."/>
      <w:lvlJc w:val="left"/>
      <w:pPr>
        <w:tabs>
          <w:tab w:val="num" w:pos="2017"/>
        </w:tabs>
        <w:ind w:left="2017" w:hanging="360"/>
      </w:pPr>
    </w:lvl>
    <w:lvl w:ilvl="2" w:tplc="0409001B" w:tentative="1">
      <w:start w:val="1"/>
      <w:numFmt w:val="lowerRoman"/>
      <w:lvlText w:val="%3."/>
      <w:lvlJc w:val="right"/>
      <w:pPr>
        <w:tabs>
          <w:tab w:val="num" w:pos="2737"/>
        </w:tabs>
        <w:ind w:left="2737" w:hanging="180"/>
      </w:pPr>
    </w:lvl>
    <w:lvl w:ilvl="3" w:tplc="0409000F" w:tentative="1">
      <w:start w:val="1"/>
      <w:numFmt w:val="decimal"/>
      <w:lvlText w:val="%4."/>
      <w:lvlJc w:val="left"/>
      <w:pPr>
        <w:tabs>
          <w:tab w:val="num" w:pos="3457"/>
        </w:tabs>
        <w:ind w:left="3457" w:hanging="360"/>
      </w:pPr>
    </w:lvl>
    <w:lvl w:ilvl="4" w:tplc="04090019" w:tentative="1">
      <w:start w:val="1"/>
      <w:numFmt w:val="lowerLetter"/>
      <w:lvlText w:val="%5."/>
      <w:lvlJc w:val="left"/>
      <w:pPr>
        <w:tabs>
          <w:tab w:val="num" w:pos="4177"/>
        </w:tabs>
        <w:ind w:left="4177" w:hanging="360"/>
      </w:pPr>
    </w:lvl>
    <w:lvl w:ilvl="5" w:tplc="0409001B" w:tentative="1">
      <w:start w:val="1"/>
      <w:numFmt w:val="lowerRoman"/>
      <w:lvlText w:val="%6."/>
      <w:lvlJc w:val="right"/>
      <w:pPr>
        <w:tabs>
          <w:tab w:val="num" w:pos="4897"/>
        </w:tabs>
        <w:ind w:left="4897" w:hanging="180"/>
      </w:pPr>
    </w:lvl>
    <w:lvl w:ilvl="6" w:tplc="0409000F" w:tentative="1">
      <w:start w:val="1"/>
      <w:numFmt w:val="decimal"/>
      <w:lvlText w:val="%7."/>
      <w:lvlJc w:val="left"/>
      <w:pPr>
        <w:tabs>
          <w:tab w:val="num" w:pos="5617"/>
        </w:tabs>
        <w:ind w:left="5617" w:hanging="360"/>
      </w:pPr>
    </w:lvl>
    <w:lvl w:ilvl="7" w:tplc="04090019" w:tentative="1">
      <w:start w:val="1"/>
      <w:numFmt w:val="lowerLetter"/>
      <w:lvlText w:val="%8."/>
      <w:lvlJc w:val="left"/>
      <w:pPr>
        <w:tabs>
          <w:tab w:val="num" w:pos="6337"/>
        </w:tabs>
        <w:ind w:left="6337" w:hanging="360"/>
      </w:pPr>
    </w:lvl>
    <w:lvl w:ilvl="8" w:tplc="0409001B" w:tentative="1">
      <w:start w:val="1"/>
      <w:numFmt w:val="lowerRoman"/>
      <w:lvlText w:val="%9."/>
      <w:lvlJc w:val="right"/>
      <w:pPr>
        <w:tabs>
          <w:tab w:val="num" w:pos="7057"/>
        </w:tabs>
        <w:ind w:left="7057" w:hanging="180"/>
      </w:pPr>
    </w:lvl>
  </w:abstractNum>
  <w:abstractNum w:abstractNumId="12">
    <w:nsid w:val="2B09258D"/>
    <w:multiLevelType w:val="hybridMultilevel"/>
    <w:tmpl w:val="0A06E22E"/>
    <w:lvl w:ilvl="0" w:tplc="5AF027EC">
      <w:start w:val="20"/>
      <w:numFmt w:val="bullet"/>
      <w:lvlText w:val=""/>
      <w:lvlJc w:val="left"/>
      <w:pPr>
        <w:tabs>
          <w:tab w:val="num" w:pos="262"/>
        </w:tabs>
        <w:ind w:left="262" w:hanging="405"/>
      </w:pPr>
      <w:rPr>
        <w:rFonts w:ascii="Wingdings" w:eastAsia="Times New Roman" w:hAnsi="Wingdings" w:cs="Miriam" w:hint="default"/>
        <w:sz w:val="32"/>
      </w:rPr>
    </w:lvl>
    <w:lvl w:ilvl="1" w:tplc="04090003" w:tentative="1">
      <w:start w:val="1"/>
      <w:numFmt w:val="bullet"/>
      <w:lvlText w:val="o"/>
      <w:lvlJc w:val="left"/>
      <w:pPr>
        <w:tabs>
          <w:tab w:val="num" w:pos="937"/>
        </w:tabs>
        <w:ind w:left="937" w:hanging="360"/>
      </w:pPr>
      <w:rPr>
        <w:rFonts w:ascii="Courier New" w:hAnsi="Courier New" w:cs="Courier New" w:hint="default"/>
      </w:rPr>
    </w:lvl>
    <w:lvl w:ilvl="2" w:tplc="04090005" w:tentative="1">
      <w:start w:val="1"/>
      <w:numFmt w:val="bullet"/>
      <w:lvlText w:val=""/>
      <w:lvlJc w:val="left"/>
      <w:pPr>
        <w:tabs>
          <w:tab w:val="num" w:pos="1657"/>
        </w:tabs>
        <w:ind w:left="1657" w:hanging="360"/>
      </w:pPr>
      <w:rPr>
        <w:rFonts w:ascii="Wingdings" w:hAnsi="Wingdings" w:hint="default"/>
      </w:rPr>
    </w:lvl>
    <w:lvl w:ilvl="3" w:tplc="04090001" w:tentative="1">
      <w:start w:val="1"/>
      <w:numFmt w:val="bullet"/>
      <w:lvlText w:val=""/>
      <w:lvlJc w:val="left"/>
      <w:pPr>
        <w:tabs>
          <w:tab w:val="num" w:pos="2377"/>
        </w:tabs>
        <w:ind w:left="2377" w:hanging="360"/>
      </w:pPr>
      <w:rPr>
        <w:rFonts w:ascii="Symbol" w:hAnsi="Symbol" w:hint="default"/>
      </w:rPr>
    </w:lvl>
    <w:lvl w:ilvl="4" w:tplc="04090003" w:tentative="1">
      <w:start w:val="1"/>
      <w:numFmt w:val="bullet"/>
      <w:lvlText w:val="o"/>
      <w:lvlJc w:val="left"/>
      <w:pPr>
        <w:tabs>
          <w:tab w:val="num" w:pos="3097"/>
        </w:tabs>
        <w:ind w:left="3097" w:hanging="360"/>
      </w:pPr>
      <w:rPr>
        <w:rFonts w:ascii="Courier New" w:hAnsi="Courier New" w:cs="Courier New" w:hint="default"/>
      </w:rPr>
    </w:lvl>
    <w:lvl w:ilvl="5" w:tplc="04090005" w:tentative="1">
      <w:start w:val="1"/>
      <w:numFmt w:val="bullet"/>
      <w:lvlText w:val=""/>
      <w:lvlJc w:val="left"/>
      <w:pPr>
        <w:tabs>
          <w:tab w:val="num" w:pos="3817"/>
        </w:tabs>
        <w:ind w:left="3817" w:hanging="360"/>
      </w:pPr>
      <w:rPr>
        <w:rFonts w:ascii="Wingdings" w:hAnsi="Wingdings" w:hint="default"/>
      </w:rPr>
    </w:lvl>
    <w:lvl w:ilvl="6" w:tplc="04090001" w:tentative="1">
      <w:start w:val="1"/>
      <w:numFmt w:val="bullet"/>
      <w:lvlText w:val=""/>
      <w:lvlJc w:val="left"/>
      <w:pPr>
        <w:tabs>
          <w:tab w:val="num" w:pos="4537"/>
        </w:tabs>
        <w:ind w:left="4537" w:hanging="360"/>
      </w:pPr>
      <w:rPr>
        <w:rFonts w:ascii="Symbol" w:hAnsi="Symbol" w:hint="default"/>
      </w:rPr>
    </w:lvl>
    <w:lvl w:ilvl="7" w:tplc="04090003" w:tentative="1">
      <w:start w:val="1"/>
      <w:numFmt w:val="bullet"/>
      <w:lvlText w:val="o"/>
      <w:lvlJc w:val="left"/>
      <w:pPr>
        <w:tabs>
          <w:tab w:val="num" w:pos="5257"/>
        </w:tabs>
        <w:ind w:left="5257" w:hanging="360"/>
      </w:pPr>
      <w:rPr>
        <w:rFonts w:ascii="Courier New" w:hAnsi="Courier New" w:cs="Courier New" w:hint="default"/>
      </w:rPr>
    </w:lvl>
    <w:lvl w:ilvl="8" w:tplc="04090005" w:tentative="1">
      <w:start w:val="1"/>
      <w:numFmt w:val="bullet"/>
      <w:lvlText w:val=""/>
      <w:lvlJc w:val="left"/>
      <w:pPr>
        <w:tabs>
          <w:tab w:val="num" w:pos="5977"/>
        </w:tabs>
        <w:ind w:left="5977" w:hanging="360"/>
      </w:pPr>
      <w:rPr>
        <w:rFonts w:ascii="Wingdings" w:hAnsi="Wingdings" w:hint="default"/>
      </w:rPr>
    </w:lvl>
  </w:abstractNum>
  <w:abstractNum w:abstractNumId="13">
    <w:nsid w:val="2B10396B"/>
    <w:multiLevelType w:val="hybridMultilevel"/>
    <w:tmpl w:val="2F0E95FE"/>
    <w:lvl w:ilvl="0" w:tplc="E7E0148C">
      <w:numFmt w:val="bullet"/>
      <w:lvlText w:val=""/>
      <w:lvlJc w:val="left"/>
      <w:pPr>
        <w:ind w:left="360" w:hanging="360"/>
      </w:pPr>
      <w:rPr>
        <w:rFonts w:ascii="Wingdings" w:eastAsia="Times New Roman" w:hAnsi="Wingdings" w:cs="David"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007FCD"/>
    <w:multiLevelType w:val="hybridMultilevel"/>
    <w:tmpl w:val="4858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166BC"/>
    <w:multiLevelType w:val="hybridMultilevel"/>
    <w:tmpl w:val="DE56247C"/>
    <w:lvl w:ilvl="0" w:tplc="E25A1F48">
      <w:start w:val="2"/>
      <w:numFmt w:val="bullet"/>
      <w:lvlText w:val=""/>
      <w:lvlJc w:val="left"/>
      <w:pPr>
        <w:tabs>
          <w:tab w:val="num" w:pos="262"/>
        </w:tabs>
        <w:ind w:left="262" w:right="262" w:hanging="405"/>
      </w:pPr>
      <w:rPr>
        <w:rFonts w:ascii="Wingdings" w:hAnsi="Wingdings" w:cs="Miriam" w:hint="default"/>
        <w:sz w:val="36"/>
      </w:rPr>
    </w:lvl>
    <w:lvl w:ilvl="1" w:tplc="040D0003" w:tentative="1">
      <w:start w:val="1"/>
      <w:numFmt w:val="bullet"/>
      <w:lvlText w:val="o"/>
      <w:lvlJc w:val="left"/>
      <w:pPr>
        <w:tabs>
          <w:tab w:val="num" w:pos="937"/>
        </w:tabs>
        <w:ind w:left="937" w:right="937" w:hanging="360"/>
      </w:pPr>
      <w:rPr>
        <w:rFonts w:ascii="Courier New" w:hAnsi="Courier New" w:hint="default"/>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16">
    <w:nsid w:val="37F03F17"/>
    <w:multiLevelType w:val="hybridMultilevel"/>
    <w:tmpl w:val="1C1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47897"/>
    <w:multiLevelType w:val="hybridMultilevel"/>
    <w:tmpl w:val="A87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C3E7C"/>
    <w:multiLevelType w:val="hybridMultilevel"/>
    <w:tmpl w:val="DC1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65328"/>
    <w:multiLevelType w:val="hybridMultilevel"/>
    <w:tmpl w:val="C43E14C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0">
    <w:nsid w:val="458718CC"/>
    <w:multiLevelType w:val="hybridMultilevel"/>
    <w:tmpl w:val="D0FA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C0FF6"/>
    <w:multiLevelType w:val="hybridMultilevel"/>
    <w:tmpl w:val="464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72D8E"/>
    <w:multiLevelType w:val="hybridMultilevel"/>
    <w:tmpl w:val="90F0E95E"/>
    <w:lvl w:ilvl="0" w:tplc="E7E0148C">
      <w:numFmt w:val="bullet"/>
      <w:lvlText w:val=""/>
      <w:lvlJc w:val="left"/>
      <w:pPr>
        <w:ind w:left="360" w:hanging="360"/>
      </w:pPr>
      <w:rPr>
        <w:rFonts w:ascii="Wingdings" w:eastAsia="Times New Roman"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805EC4"/>
    <w:multiLevelType w:val="hybridMultilevel"/>
    <w:tmpl w:val="0512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424C4"/>
    <w:multiLevelType w:val="hybridMultilevel"/>
    <w:tmpl w:val="F8321D46"/>
    <w:lvl w:ilvl="0" w:tplc="D374964A">
      <w:start w:val="8"/>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164160"/>
    <w:multiLevelType w:val="hybridMultilevel"/>
    <w:tmpl w:val="22B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B768F"/>
    <w:multiLevelType w:val="hybridMultilevel"/>
    <w:tmpl w:val="33B0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3190F"/>
    <w:multiLevelType w:val="hybridMultilevel"/>
    <w:tmpl w:val="0C6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297C20"/>
    <w:multiLevelType w:val="hybridMultilevel"/>
    <w:tmpl w:val="ECA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9537E"/>
    <w:multiLevelType w:val="hybridMultilevel"/>
    <w:tmpl w:val="7B4EDD4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nsid w:val="670C7A66"/>
    <w:multiLevelType w:val="hybridMultilevel"/>
    <w:tmpl w:val="E3B29FA4"/>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31">
    <w:nsid w:val="67F578BB"/>
    <w:multiLevelType w:val="hybridMultilevel"/>
    <w:tmpl w:val="BEE0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01A94"/>
    <w:multiLevelType w:val="hybridMultilevel"/>
    <w:tmpl w:val="D1C2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21A35"/>
    <w:multiLevelType w:val="hybridMultilevel"/>
    <w:tmpl w:val="3CD08514"/>
    <w:lvl w:ilvl="0" w:tplc="D7DA808C">
      <w:start w:val="2"/>
      <w:numFmt w:val="bullet"/>
      <w:lvlText w:val=""/>
      <w:lvlJc w:val="left"/>
      <w:pPr>
        <w:tabs>
          <w:tab w:val="num" w:pos="405"/>
        </w:tabs>
        <w:ind w:left="405" w:right="262" w:hanging="405"/>
      </w:pPr>
      <w:rPr>
        <w:rFonts w:ascii="Wingdings" w:eastAsia="Times New Roman" w:hAnsi="Wingdings" w:cs="Miriam" w:hint="default"/>
        <w:sz w:val="32"/>
      </w:rPr>
    </w:lvl>
    <w:lvl w:ilvl="1" w:tplc="04090003" w:tentative="1">
      <w:start w:val="1"/>
      <w:numFmt w:val="bullet"/>
      <w:lvlText w:val="o"/>
      <w:lvlJc w:val="left"/>
      <w:pPr>
        <w:tabs>
          <w:tab w:val="num" w:pos="1583"/>
        </w:tabs>
        <w:ind w:left="1583" w:hanging="360"/>
      </w:pPr>
      <w:rPr>
        <w:rFonts w:ascii="Courier New" w:hAnsi="Courier New" w:cs="Courier New" w:hint="default"/>
      </w:rPr>
    </w:lvl>
    <w:lvl w:ilvl="2" w:tplc="04090005" w:tentative="1">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34">
    <w:nsid w:val="6C6B01C8"/>
    <w:multiLevelType w:val="hybridMultilevel"/>
    <w:tmpl w:val="E520B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165BDF"/>
    <w:multiLevelType w:val="hybridMultilevel"/>
    <w:tmpl w:val="757A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40F4E"/>
    <w:multiLevelType w:val="hybridMultilevel"/>
    <w:tmpl w:val="B16C110C"/>
    <w:lvl w:ilvl="0" w:tplc="D7DA808C">
      <w:start w:val="2"/>
      <w:numFmt w:val="bullet"/>
      <w:lvlText w:val=""/>
      <w:lvlJc w:val="left"/>
      <w:pPr>
        <w:tabs>
          <w:tab w:val="num" w:pos="262"/>
        </w:tabs>
        <w:ind w:left="262" w:right="262" w:hanging="405"/>
      </w:pPr>
      <w:rPr>
        <w:rFonts w:ascii="Wingdings" w:eastAsia="Times New Roman" w:hAnsi="Wingdings" w:cs="Miriam" w:hint="default"/>
        <w:sz w:val="32"/>
      </w:rPr>
    </w:lvl>
    <w:lvl w:ilvl="1" w:tplc="04090001">
      <w:start w:val="1"/>
      <w:numFmt w:val="bullet"/>
      <w:lvlText w:val=""/>
      <w:lvlJc w:val="left"/>
      <w:pPr>
        <w:tabs>
          <w:tab w:val="num" w:pos="937"/>
        </w:tabs>
        <w:ind w:left="937" w:hanging="360"/>
      </w:pPr>
      <w:rPr>
        <w:rFonts w:ascii="Symbol" w:hAnsi="Symbol" w:hint="default"/>
        <w:sz w:val="32"/>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37">
    <w:nsid w:val="74441D72"/>
    <w:multiLevelType w:val="hybridMultilevel"/>
    <w:tmpl w:val="25E65014"/>
    <w:lvl w:ilvl="0" w:tplc="89B8B86E">
      <w:numFmt w:val="bullet"/>
      <w:lvlText w:val=""/>
      <w:lvlJc w:val="left"/>
      <w:pPr>
        <w:ind w:left="360" w:hanging="360"/>
      </w:pPr>
      <w:rPr>
        <w:rFonts w:ascii="Wingdings" w:eastAsia="Times New Roman" w:hAnsi="Wingdings" w:cs="David"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ED762F"/>
    <w:multiLevelType w:val="hybridMultilevel"/>
    <w:tmpl w:val="43D0F9CE"/>
    <w:lvl w:ilvl="0" w:tplc="37960534">
      <w:numFmt w:val="bullet"/>
      <w:lvlText w:val=""/>
      <w:lvlJc w:val="left"/>
      <w:pPr>
        <w:ind w:left="360" w:hanging="360"/>
      </w:pPr>
      <w:rPr>
        <w:rFonts w:ascii="Wingdings" w:eastAsia="Times New Roman" w:hAnsi="Wingdings" w:cs="David" w:hint="default"/>
        <w:sz w:val="24"/>
        <w:szCs w:val="2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496EE5"/>
    <w:multiLevelType w:val="hybridMultilevel"/>
    <w:tmpl w:val="BD60BA3C"/>
    <w:lvl w:ilvl="0" w:tplc="2B1051C8">
      <w:numFmt w:val="bullet"/>
      <w:lvlText w:val=""/>
      <w:lvlJc w:val="left"/>
      <w:pPr>
        <w:tabs>
          <w:tab w:val="num" w:pos="360"/>
        </w:tabs>
        <w:ind w:left="360" w:hanging="360"/>
      </w:pPr>
      <w:rPr>
        <w:rFonts w:ascii="Wingdings" w:eastAsia="Times New Roman" w:hAnsi="Wingdings" w:cs="David" w:hint="default"/>
      </w:rPr>
    </w:lvl>
    <w:lvl w:ilvl="1" w:tplc="04090003" w:tentative="1">
      <w:start w:val="1"/>
      <w:numFmt w:val="bullet"/>
      <w:lvlText w:val="o"/>
      <w:lvlJc w:val="left"/>
      <w:pPr>
        <w:tabs>
          <w:tab w:val="num" w:pos="386"/>
        </w:tabs>
        <w:ind w:left="386" w:hanging="360"/>
      </w:pPr>
      <w:rPr>
        <w:rFonts w:ascii="Courier New" w:hAnsi="Courier New" w:cs="Courier New" w:hint="default"/>
      </w:rPr>
    </w:lvl>
    <w:lvl w:ilvl="2" w:tplc="04090005" w:tentative="1">
      <w:start w:val="1"/>
      <w:numFmt w:val="bullet"/>
      <w:lvlText w:val=""/>
      <w:lvlJc w:val="left"/>
      <w:pPr>
        <w:tabs>
          <w:tab w:val="num" w:pos="1106"/>
        </w:tabs>
        <w:ind w:left="1106" w:hanging="360"/>
      </w:pPr>
      <w:rPr>
        <w:rFonts w:ascii="Wingdings" w:hAnsi="Wingdings" w:hint="default"/>
      </w:rPr>
    </w:lvl>
    <w:lvl w:ilvl="3" w:tplc="04090001" w:tentative="1">
      <w:start w:val="1"/>
      <w:numFmt w:val="bullet"/>
      <w:lvlText w:val=""/>
      <w:lvlJc w:val="left"/>
      <w:pPr>
        <w:tabs>
          <w:tab w:val="num" w:pos="1826"/>
        </w:tabs>
        <w:ind w:left="1826" w:hanging="360"/>
      </w:pPr>
      <w:rPr>
        <w:rFonts w:ascii="Symbol" w:hAnsi="Symbol" w:hint="default"/>
      </w:rPr>
    </w:lvl>
    <w:lvl w:ilvl="4" w:tplc="04090003" w:tentative="1">
      <w:start w:val="1"/>
      <w:numFmt w:val="bullet"/>
      <w:lvlText w:val="o"/>
      <w:lvlJc w:val="left"/>
      <w:pPr>
        <w:tabs>
          <w:tab w:val="num" w:pos="2546"/>
        </w:tabs>
        <w:ind w:left="2546" w:hanging="360"/>
      </w:pPr>
      <w:rPr>
        <w:rFonts w:ascii="Courier New" w:hAnsi="Courier New" w:cs="Courier New" w:hint="default"/>
      </w:rPr>
    </w:lvl>
    <w:lvl w:ilvl="5" w:tplc="04090005" w:tentative="1">
      <w:start w:val="1"/>
      <w:numFmt w:val="bullet"/>
      <w:lvlText w:val=""/>
      <w:lvlJc w:val="left"/>
      <w:pPr>
        <w:tabs>
          <w:tab w:val="num" w:pos="3266"/>
        </w:tabs>
        <w:ind w:left="3266" w:hanging="360"/>
      </w:pPr>
      <w:rPr>
        <w:rFonts w:ascii="Wingdings" w:hAnsi="Wingdings" w:hint="default"/>
      </w:rPr>
    </w:lvl>
    <w:lvl w:ilvl="6" w:tplc="04090001" w:tentative="1">
      <w:start w:val="1"/>
      <w:numFmt w:val="bullet"/>
      <w:lvlText w:val=""/>
      <w:lvlJc w:val="left"/>
      <w:pPr>
        <w:tabs>
          <w:tab w:val="num" w:pos="3986"/>
        </w:tabs>
        <w:ind w:left="3986" w:hanging="360"/>
      </w:pPr>
      <w:rPr>
        <w:rFonts w:ascii="Symbol" w:hAnsi="Symbol" w:hint="default"/>
      </w:rPr>
    </w:lvl>
    <w:lvl w:ilvl="7" w:tplc="04090003" w:tentative="1">
      <w:start w:val="1"/>
      <w:numFmt w:val="bullet"/>
      <w:lvlText w:val="o"/>
      <w:lvlJc w:val="left"/>
      <w:pPr>
        <w:tabs>
          <w:tab w:val="num" w:pos="4706"/>
        </w:tabs>
        <w:ind w:left="4706" w:hanging="360"/>
      </w:pPr>
      <w:rPr>
        <w:rFonts w:ascii="Courier New" w:hAnsi="Courier New" w:cs="Courier New" w:hint="default"/>
      </w:rPr>
    </w:lvl>
    <w:lvl w:ilvl="8" w:tplc="04090005" w:tentative="1">
      <w:start w:val="1"/>
      <w:numFmt w:val="bullet"/>
      <w:lvlText w:val=""/>
      <w:lvlJc w:val="left"/>
      <w:pPr>
        <w:tabs>
          <w:tab w:val="num" w:pos="5426"/>
        </w:tabs>
        <w:ind w:left="5426" w:hanging="360"/>
      </w:pPr>
      <w:rPr>
        <w:rFonts w:ascii="Wingdings" w:hAnsi="Wingdings" w:hint="default"/>
      </w:rPr>
    </w:lvl>
  </w:abstractNum>
  <w:abstractNum w:abstractNumId="40">
    <w:nsid w:val="78761542"/>
    <w:multiLevelType w:val="hybridMultilevel"/>
    <w:tmpl w:val="8248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8709AA"/>
    <w:multiLevelType w:val="hybridMultilevel"/>
    <w:tmpl w:val="DA0A3E76"/>
    <w:lvl w:ilvl="0" w:tplc="D7DA808C">
      <w:start w:val="2"/>
      <w:numFmt w:val="bullet"/>
      <w:lvlText w:val=""/>
      <w:lvlJc w:val="left"/>
      <w:pPr>
        <w:tabs>
          <w:tab w:val="num" w:pos="405"/>
        </w:tabs>
        <w:ind w:left="405" w:right="262" w:hanging="405"/>
      </w:pPr>
      <w:rPr>
        <w:rFonts w:ascii="Wingdings" w:eastAsia="Times New Roman" w:hAnsi="Wingdings" w:cs="Miriam" w:hint="default"/>
        <w:sz w:val="32"/>
      </w:rPr>
    </w:lvl>
    <w:lvl w:ilvl="1" w:tplc="04090003" w:tentative="1">
      <w:start w:val="1"/>
      <w:numFmt w:val="bullet"/>
      <w:lvlText w:val="o"/>
      <w:lvlJc w:val="left"/>
      <w:pPr>
        <w:tabs>
          <w:tab w:val="num" w:pos="1583"/>
        </w:tabs>
        <w:ind w:left="1583" w:hanging="360"/>
      </w:pPr>
      <w:rPr>
        <w:rFonts w:ascii="Courier New" w:hAnsi="Courier New" w:cs="Courier New" w:hint="default"/>
      </w:rPr>
    </w:lvl>
    <w:lvl w:ilvl="2" w:tplc="04090005" w:tentative="1">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num w:numId="1">
    <w:abstractNumId w:val="36"/>
  </w:num>
  <w:num w:numId="2">
    <w:abstractNumId w:val="15"/>
  </w:num>
  <w:num w:numId="3">
    <w:abstractNumId w:val="10"/>
  </w:num>
  <w:num w:numId="4">
    <w:abstractNumId w:val="33"/>
  </w:num>
  <w:num w:numId="5">
    <w:abstractNumId w:val="41"/>
  </w:num>
  <w:num w:numId="6">
    <w:abstractNumId w:val="11"/>
  </w:num>
  <w:num w:numId="7">
    <w:abstractNumId w:val="12"/>
  </w:num>
  <w:num w:numId="8">
    <w:abstractNumId w:val="34"/>
  </w:num>
  <w:num w:numId="9">
    <w:abstractNumId w:val="18"/>
  </w:num>
  <w:num w:numId="10">
    <w:abstractNumId w:val="8"/>
  </w:num>
  <w:num w:numId="11">
    <w:abstractNumId w:val="2"/>
  </w:num>
  <w:num w:numId="12">
    <w:abstractNumId w:val="14"/>
  </w:num>
  <w:num w:numId="13">
    <w:abstractNumId w:val="23"/>
  </w:num>
  <w:num w:numId="14">
    <w:abstractNumId w:val="31"/>
  </w:num>
  <w:num w:numId="15">
    <w:abstractNumId w:val="6"/>
  </w:num>
  <w:num w:numId="16">
    <w:abstractNumId w:val="25"/>
  </w:num>
  <w:num w:numId="17">
    <w:abstractNumId w:val="40"/>
  </w:num>
  <w:num w:numId="18">
    <w:abstractNumId w:val="17"/>
  </w:num>
  <w:num w:numId="19">
    <w:abstractNumId w:val="35"/>
  </w:num>
  <w:num w:numId="20">
    <w:abstractNumId w:val="24"/>
  </w:num>
  <w:num w:numId="21">
    <w:abstractNumId w:val="21"/>
  </w:num>
  <w:num w:numId="22">
    <w:abstractNumId w:val="7"/>
  </w:num>
  <w:num w:numId="23">
    <w:abstractNumId w:val="16"/>
  </w:num>
  <w:num w:numId="24">
    <w:abstractNumId w:val="4"/>
  </w:num>
  <w:num w:numId="25">
    <w:abstractNumId w:val="27"/>
  </w:num>
  <w:num w:numId="26">
    <w:abstractNumId w:val="26"/>
  </w:num>
  <w:num w:numId="27">
    <w:abstractNumId w:val="39"/>
  </w:num>
  <w:num w:numId="28">
    <w:abstractNumId w:val="22"/>
  </w:num>
  <w:num w:numId="29">
    <w:abstractNumId w:val="37"/>
  </w:num>
  <w:num w:numId="30">
    <w:abstractNumId w:val="20"/>
  </w:num>
  <w:num w:numId="31">
    <w:abstractNumId w:val="9"/>
  </w:num>
  <w:num w:numId="32">
    <w:abstractNumId w:val="5"/>
  </w:num>
  <w:num w:numId="33">
    <w:abstractNumId w:val="29"/>
  </w:num>
  <w:num w:numId="34">
    <w:abstractNumId w:val="28"/>
  </w:num>
  <w:num w:numId="35">
    <w:abstractNumId w:val="30"/>
  </w:num>
  <w:num w:numId="36">
    <w:abstractNumId w:val="3"/>
  </w:num>
  <w:num w:numId="37">
    <w:abstractNumId w:val="1"/>
  </w:num>
  <w:num w:numId="38">
    <w:abstractNumId w:val="13"/>
  </w:num>
  <w:num w:numId="39">
    <w:abstractNumId w:val="0"/>
  </w:num>
  <w:num w:numId="40">
    <w:abstractNumId w:val="38"/>
  </w:num>
  <w:num w:numId="41">
    <w:abstractNumId w:val="1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DB"/>
    <w:rsid w:val="0000553B"/>
    <w:rsid w:val="0001599B"/>
    <w:rsid w:val="00021BE4"/>
    <w:rsid w:val="000239E6"/>
    <w:rsid w:val="00036E46"/>
    <w:rsid w:val="0004395B"/>
    <w:rsid w:val="000453BC"/>
    <w:rsid w:val="00051422"/>
    <w:rsid w:val="000557B6"/>
    <w:rsid w:val="00057A26"/>
    <w:rsid w:val="0006251A"/>
    <w:rsid w:val="00066DC8"/>
    <w:rsid w:val="00075F8D"/>
    <w:rsid w:val="00080827"/>
    <w:rsid w:val="000A3E54"/>
    <w:rsid w:val="000B5E6F"/>
    <w:rsid w:val="000B7039"/>
    <w:rsid w:val="000C0394"/>
    <w:rsid w:val="000C2846"/>
    <w:rsid w:val="000C7212"/>
    <w:rsid w:val="000D21B9"/>
    <w:rsid w:val="000D36FB"/>
    <w:rsid w:val="000E3BBA"/>
    <w:rsid w:val="000F589A"/>
    <w:rsid w:val="00106FFC"/>
    <w:rsid w:val="00116C09"/>
    <w:rsid w:val="00124F2C"/>
    <w:rsid w:val="001253AE"/>
    <w:rsid w:val="00126D0C"/>
    <w:rsid w:val="0014051A"/>
    <w:rsid w:val="001409BD"/>
    <w:rsid w:val="00154668"/>
    <w:rsid w:val="00155771"/>
    <w:rsid w:val="00173032"/>
    <w:rsid w:val="00184809"/>
    <w:rsid w:val="001871AA"/>
    <w:rsid w:val="00187945"/>
    <w:rsid w:val="00193EE3"/>
    <w:rsid w:val="00195881"/>
    <w:rsid w:val="001A608C"/>
    <w:rsid w:val="001B0382"/>
    <w:rsid w:val="001B0DD2"/>
    <w:rsid w:val="001B20EA"/>
    <w:rsid w:val="001B256D"/>
    <w:rsid w:val="001B3BB4"/>
    <w:rsid w:val="001C0BD5"/>
    <w:rsid w:val="001C0F9A"/>
    <w:rsid w:val="001C1F09"/>
    <w:rsid w:val="001C44EA"/>
    <w:rsid w:val="001D36FA"/>
    <w:rsid w:val="001D51B0"/>
    <w:rsid w:val="001E06D6"/>
    <w:rsid w:val="001E3529"/>
    <w:rsid w:val="001E524B"/>
    <w:rsid w:val="00200BAF"/>
    <w:rsid w:val="00206B36"/>
    <w:rsid w:val="00214E5E"/>
    <w:rsid w:val="00215D1B"/>
    <w:rsid w:val="00242E69"/>
    <w:rsid w:val="00247CD8"/>
    <w:rsid w:val="0025070D"/>
    <w:rsid w:val="002528C8"/>
    <w:rsid w:val="00262365"/>
    <w:rsid w:val="0026363F"/>
    <w:rsid w:val="00266FBE"/>
    <w:rsid w:val="00276608"/>
    <w:rsid w:val="00276757"/>
    <w:rsid w:val="0027749D"/>
    <w:rsid w:val="002829A6"/>
    <w:rsid w:val="00282BB0"/>
    <w:rsid w:val="00284678"/>
    <w:rsid w:val="0028523B"/>
    <w:rsid w:val="0029191E"/>
    <w:rsid w:val="002A08C4"/>
    <w:rsid w:val="002A6713"/>
    <w:rsid w:val="002A69DC"/>
    <w:rsid w:val="002C55D2"/>
    <w:rsid w:val="002E7AF6"/>
    <w:rsid w:val="003012A5"/>
    <w:rsid w:val="00302E5C"/>
    <w:rsid w:val="00306B92"/>
    <w:rsid w:val="00327098"/>
    <w:rsid w:val="0033554A"/>
    <w:rsid w:val="003377F0"/>
    <w:rsid w:val="00343B4E"/>
    <w:rsid w:val="0036134A"/>
    <w:rsid w:val="003854A8"/>
    <w:rsid w:val="00395D6C"/>
    <w:rsid w:val="003A3D43"/>
    <w:rsid w:val="003A5ECE"/>
    <w:rsid w:val="003B3CF8"/>
    <w:rsid w:val="003B6682"/>
    <w:rsid w:val="003C7431"/>
    <w:rsid w:val="003D09D5"/>
    <w:rsid w:val="0040456A"/>
    <w:rsid w:val="00415862"/>
    <w:rsid w:val="00415D5E"/>
    <w:rsid w:val="004224DB"/>
    <w:rsid w:val="00426E2F"/>
    <w:rsid w:val="004339EB"/>
    <w:rsid w:val="00433A2A"/>
    <w:rsid w:val="004455C3"/>
    <w:rsid w:val="00447B6C"/>
    <w:rsid w:val="00467655"/>
    <w:rsid w:val="00467826"/>
    <w:rsid w:val="004721C7"/>
    <w:rsid w:val="004811AB"/>
    <w:rsid w:val="00485911"/>
    <w:rsid w:val="00486E49"/>
    <w:rsid w:val="00491CF5"/>
    <w:rsid w:val="004A20CA"/>
    <w:rsid w:val="004B03C9"/>
    <w:rsid w:val="004B0CF7"/>
    <w:rsid w:val="004B2E04"/>
    <w:rsid w:val="004B728D"/>
    <w:rsid w:val="004C50B8"/>
    <w:rsid w:val="004C69F6"/>
    <w:rsid w:val="004D77F9"/>
    <w:rsid w:val="004E3CB6"/>
    <w:rsid w:val="004E60D5"/>
    <w:rsid w:val="004F3558"/>
    <w:rsid w:val="00507B37"/>
    <w:rsid w:val="005176E5"/>
    <w:rsid w:val="00521B24"/>
    <w:rsid w:val="00525F60"/>
    <w:rsid w:val="00542AE3"/>
    <w:rsid w:val="00552413"/>
    <w:rsid w:val="00555B5C"/>
    <w:rsid w:val="00576AFC"/>
    <w:rsid w:val="005819AF"/>
    <w:rsid w:val="005B32BC"/>
    <w:rsid w:val="005B3DB6"/>
    <w:rsid w:val="005B75ED"/>
    <w:rsid w:val="005D56D8"/>
    <w:rsid w:val="005D727A"/>
    <w:rsid w:val="005E7182"/>
    <w:rsid w:val="005F137A"/>
    <w:rsid w:val="0060260B"/>
    <w:rsid w:val="006127F4"/>
    <w:rsid w:val="00616ABB"/>
    <w:rsid w:val="006245C2"/>
    <w:rsid w:val="00630A26"/>
    <w:rsid w:val="00646ADF"/>
    <w:rsid w:val="00656776"/>
    <w:rsid w:val="006675BB"/>
    <w:rsid w:val="00671516"/>
    <w:rsid w:val="006743D3"/>
    <w:rsid w:val="006758D3"/>
    <w:rsid w:val="006804B9"/>
    <w:rsid w:val="006908E6"/>
    <w:rsid w:val="0069423F"/>
    <w:rsid w:val="006A4822"/>
    <w:rsid w:val="006B74C8"/>
    <w:rsid w:val="006C6C7B"/>
    <w:rsid w:val="006D2864"/>
    <w:rsid w:val="006D77DD"/>
    <w:rsid w:val="006E4743"/>
    <w:rsid w:val="007063BF"/>
    <w:rsid w:val="0071030D"/>
    <w:rsid w:val="00743250"/>
    <w:rsid w:val="00744D54"/>
    <w:rsid w:val="00766AE2"/>
    <w:rsid w:val="007751AF"/>
    <w:rsid w:val="0077598B"/>
    <w:rsid w:val="00786259"/>
    <w:rsid w:val="00791B61"/>
    <w:rsid w:val="007A7DF8"/>
    <w:rsid w:val="007B688E"/>
    <w:rsid w:val="00800C18"/>
    <w:rsid w:val="008121FD"/>
    <w:rsid w:val="00817978"/>
    <w:rsid w:val="008179B3"/>
    <w:rsid w:val="008252C6"/>
    <w:rsid w:val="00825FD2"/>
    <w:rsid w:val="0086535B"/>
    <w:rsid w:val="00871293"/>
    <w:rsid w:val="00873325"/>
    <w:rsid w:val="008770EB"/>
    <w:rsid w:val="00886885"/>
    <w:rsid w:val="00894D20"/>
    <w:rsid w:val="008B01C8"/>
    <w:rsid w:val="008B242B"/>
    <w:rsid w:val="008C1FEB"/>
    <w:rsid w:val="008C301F"/>
    <w:rsid w:val="008D3493"/>
    <w:rsid w:val="008D4CE3"/>
    <w:rsid w:val="008D7D1F"/>
    <w:rsid w:val="008E7296"/>
    <w:rsid w:val="008F15DA"/>
    <w:rsid w:val="008F32EA"/>
    <w:rsid w:val="008F33C7"/>
    <w:rsid w:val="008F6414"/>
    <w:rsid w:val="00900FE8"/>
    <w:rsid w:val="00923FF1"/>
    <w:rsid w:val="009344EA"/>
    <w:rsid w:val="0093466D"/>
    <w:rsid w:val="00936408"/>
    <w:rsid w:val="00937132"/>
    <w:rsid w:val="00943C7B"/>
    <w:rsid w:val="0094554B"/>
    <w:rsid w:val="009477D1"/>
    <w:rsid w:val="00950344"/>
    <w:rsid w:val="00951202"/>
    <w:rsid w:val="00981824"/>
    <w:rsid w:val="009A15AE"/>
    <w:rsid w:val="009A5F35"/>
    <w:rsid w:val="009B1FC9"/>
    <w:rsid w:val="009B3847"/>
    <w:rsid w:val="009C0869"/>
    <w:rsid w:val="009C29E2"/>
    <w:rsid w:val="009C6FA2"/>
    <w:rsid w:val="009E4FA1"/>
    <w:rsid w:val="009E7C98"/>
    <w:rsid w:val="00A00794"/>
    <w:rsid w:val="00A0695E"/>
    <w:rsid w:val="00A34503"/>
    <w:rsid w:val="00A351AE"/>
    <w:rsid w:val="00A47768"/>
    <w:rsid w:val="00A5154F"/>
    <w:rsid w:val="00A55FBE"/>
    <w:rsid w:val="00A6294C"/>
    <w:rsid w:val="00A6375F"/>
    <w:rsid w:val="00A6502B"/>
    <w:rsid w:val="00A73085"/>
    <w:rsid w:val="00A919E6"/>
    <w:rsid w:val="00A9665C"/>
    <w:rsid w:val="00AA3169"/>
    <w:rsid w:val="00AB1997"/>
    <w:rsid w:val="00AB4790"/>
    <w:rsid w:val="00AB5249"/>
    <w:rsid w:val="00AB7511"/>
    <w:rsid w:val="00AC3BB7"/>
    <w:rsid w:val="00AC4496"/>
    <w:rsid w:val="00AC46D1"/>
    <w:rsid w:val="00AE467B"/>
    <w:rsid w:val="00AE4786"/>
    <w:rsid w:val="00B12B8A"/>
    <w:rsid w:val="00B16A15"/>
    <w:rsid w:val="00B456BF"/>
    <w:rsid w:val="00B534F8"/>
    <w:rsid w:val="00B535B1"/>
    <w:rsid w:val="00B84818"/>
    <w:rsid w:val="00B933B3"/>
    <w:rsid w:val="00BB033A"/>
    <w:rsid w:val="00BB6D32"/>
    <w:rsid w:val="00BC462A"/>
    <w:rsid w:val="00BC5F73"/>
    <w:rsid w:val="00BC79F4"/>
    <w:rsid w:val="00BD1457"/>
    <w:rsid w:val="00BD4456"/>
    <w:rsid w:val="00BE276B"/>
    <w:rsid w:val="00BE6E66"/>
    <w:rsid w:val="00BF44FC"/>
    <w:rsid w:val="00BF539E"/>
    <w:rsid w:val="00C11A82"/>
    <w:rsid w:val="00C15E9E"/>
    <w:rsid w:val="00C207A6"/>
    <w:rsid w:val="00C2126B"/>
    <w:rsid w:val="00C21905"/>
    <w:rsid w:val="00C237F5"/>
    <w:rsid w:val="00C245BC"/>
    <w:rsid w:val="00C36C14"/>
    <w:rsid w:val="00C41D4B"/>
    <w:rsid w:val="00C44143"/>
    <w:rsid w:val="00C4689F"/>
    <w:rsid w:val="00C66A83"/>
    <w:rsid w:val="00C759E4"/>
    <w:rsid w:val="00C82BFB"/>
    <w:rsid w:val="00C8558D"/>
    <w:rsid w:val="00C90024"/>
    <w:rsid w:val="00C937D3"/>
    <w:rsid w:val="00C9502C"/>
    <w:rsid w:val="00C95D35"/>
    <w:rsid w:val="00C97BBF"/>
    <w:rsid w:val="00CA3420"/>
    <w:rsid w:val="00CA5EE5"/>
    <w:rsid w:val="00CD0737"/>
    <w:rsid w:val="00CF148C"/>
    <w:rsid w:val="00CF65C8"/>
    <w:rsid w:val="00D04B76"/>
    <w:rsid w:val="00D148EB"/>
    <w:rsid w:val="00D205B5"/>
    <w:rsid w:val="00D240A9"/>
    <w:rsid w:val="00D2477C"/>
    <w:rsid w:val="00D26035"/>
    <w:rsid w:val="00D30EBC"/>
    <w:rsid w:val="00D3782D"/>
    <w:rsid w:val="00D518D0"/>
    <w:rsid w:val="00D54D88"/>
    <w:rsid w:val="00D64F8D"/>
    <w:rsid w:val="00D67E15"/>
    <w:rsid w:val="00D726E4"/>
    <w:rsid w:val="00D72F42"/>
    <w:rsid w:val="00D734EC"/>
    <w:rsid w:val="00D73575"/>
    <w:rsid w:val="00D75D3C"/>
    <w:rsid w:val="00D80D0B"/>
    <w:rsid w:val="00DA1B6D"/>
    <w:rsid w:val="00DA5A73"/>
    <w:rsid w:val="00DB0B50"/>
    <w:rsid w:val="00DC6C0D"/>
    <w:rsid w:val="00DD1BC9"/>
    <w:rsid w:val="00DE312B"/>
    <w:rsid w:val="00DE3651"/>
    <w:rsid w:val="00DE4189"/>
    <w:rsid w:val="00DE70F9"/>
    <w:rsid w:val="00E01C45"/>
    <w:rsid w:val="00E345FC"/>
    <w:rsid w:val="00E47BE2"/>
    <w:rsid w:val="00E63EF9"/>
    <w:rsid w:val="00E71441"/>
    <w:rsid w:val="00E73C3D"/>
    <w:rsid w:val="00E8229B"/>
    <w:rsid w:val="00E84478"/>
    <w:rsid w:val="00E85172"/>
    <w:rsid w:val="00EB07F5"/>
    <w:rsid w:val="00EE0DAE"/>
    <w:rsid w:val="00EE3888"/>
    <w:rsid w:val="00EF044A"/>
    <w:rsid w:val="00EF6D9B"/>
    <w:rsid w:val="00F0092E"/>
    <w:rsid w:val="00F012FD"/>
    <w:rsid w:val="00F03163"/>
    <w:rsid w:val="00F1671A"/>
    <w:rsid w:val="00F16A1D"/>
    <w:rsid w:val="00F20799"/>
    <w:rsid w:val="00F231AD"/>
    <w:rsid w:val="00F31D14"/>
    <w:rsid w:val="00F366E3"/>
    <w:rsid w:val="00F371CC"/>
    <w:rsid w:val="00F40637"/>
    <w:rsid w:val="00F4747A"/>
    <w:rsid w:val="00F52D61"/>
    <w:rsid w:val="00F61E03"/>
    <w:rsid w:val="00F67B67"/>
    <w:rsid w:val="00F74C48"/>
    <w:rsid w:val="00F80845"/>
    <w:rsid w:val="00F90E5E"/>
    <w:rsid w:val="00F944E5"/>
    <w:rsid w:val="00F95582"/>
    <w:rsid w:val="00FA79DC"/>
    <w:rsid w:val="00FB1742"/>
    <w:rsid w:val="00FC10E6"/>
    <w:rsid w:val="00FD3DAE"/>
    <w:rsid w:val="00FD53A2"/>
    <w:rsid w:val="00FF55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4B"/>
    <w:pPr>
      <w:bidi/>
    </w:pPr>
    <w:rPr>
      <w:rFonts w:cs="David"/>
      <w:sz w:val="24"/>
      <w:szCs w:val="24"/>
      <w:lang w:eastAsia="he-IL"/>
    </w:rPr>
  </w:style>
  <w:style w:type="paragraph" w:styleId="1">
    <w:name w:val="heading 1"/>
    <w:basedOn w:val="a"/>
    <w:next w:val="a"/>
    <w:qFormat/>
    <w:rsid w:val="00943C7B"/>
    <w:pPr>
      <w:keepNext/>
      <w:jc w:val="center"/>
      <w:outlineLvl w:val="0"/>
    </w:pPr>
    <w:rPr>
      <w:rFonts w:cs="Courier New"/>
      <w:b/>
      <w:bCs/>
      <w:sz w:val="20"/>
      <w:szCs w:val="36"/>
      <w:u w:val="single"/>
      <w:lang w:eastAsia="en-US"/>
    </w:rPr>
  </w:style>
  <w:style w:type="paragraph" w:styleId="2">
    <w:name w:val="heading 2"/>
    <w:basedOn w:val="a"/>
    <w:next w:val="a"/>
    <w:link w:val="20"/>
    <w:qFormat/>
    <w:rsid w:val="000C2846"/>
    <w:pPr>
      <w:keepNext/>
      <w:spacing w:before="240" w:after="60"/>
      <w:outlineLvl w:val="1"/>
    </w:pPr>
    <w:rPr>
      <w:rFonts w:ascii="Arial" w:hAnsi="Arial" w:cs="Arial"/>
      <w:b/>
      <w:bCs/>
      <w:i/>
      <w:iCs/>
      <w:sz w:val="28"/>
      <w:szCs w:val="28"/>
    </w:rPr>
  </w:style>
  <w:style w:type="paragraph" w:styleId="3">
    <w:name w:val="heading 3"/>
    <w:basedOn w:val="a"/>
    <w:next w:val="a"/>
    <w:qFormat/>
    <w:rsid w:val="00943C7B"/>
    <w:pPr>
      <w:keepNext/>
      <w:ind w:right="-993"/>
      <w:jc w:val="center"/>
      <w:outlineLvl w:val="2"/>
    </w:pPr>
    <w:rPr>
      <w:rFonts w:cs="Tahoma"/>
      <w:b/>
      <w:bCs/>
      <w:sz w:val="20"/>
      <w:szCs w:val="28"/>
      <w:lang w:eastAsia="en-US"/>
    </w:rPr>
  </w:style>
  <w:style w:type="paragraph" w:styleId="4">
    <w:name w:val="heading 4"/>
    <w:basedOn w:val="a"/>
    <w:next w:val="a"/>
    <w:link w:val="40"/>
    <w:uiPriority w:val="9"/>
    <w:unhideWhenUsed/>
    <w:qFormat/>
    <w:rsid w:val="00B84818"/>
    <w:pPr>
      <w:keepNext/>
      <w:spacing w:before="240" w:after="60"/>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981824"/>
    <w:rPr>
      <w:noProof/>
    </w:rPr>
  </w:style>
  <w:style w:type="paragraph" w:styleId="30">
    <w:name w:val="Body Text 3"/>
    <w:basedOn w:val="a"/>
    <w:rsid w:val="00106FFC"/>
    <w:pPr>
      <w:spacing w:after="120"/>
    </w:pPr>
    <w:rPr>
      <w:sz w:val="16"/>
      <w:szCs w:val="16"/>
    </w:rPr>
  </w:style>
  <w:style w:type="paragraph" w:customStyle="1" w:styleId="paragraph">
    <w:name w:val="paragraph"/>
    <w:basedOn w:val="a"/>
    <w:rsid w:val="00800C18"/>
    <w:pPr>
      <w:bidi w:val="0"/>
      <w:spacing w:before="120" w:line="270" w:lineRule="exact"/>
      <w:jc w:val="both"/>
    </w:pPr>
    <w:rPr>
      <w:rFonts w:ascii="Sabon" w:hAnsi="Sabon" w:cs="Times New Roman"/>
      <w:sz w:val="22"/>
      <w:szCs w:val="20"/>
      <w:lang w:val="en-GB" w:eastAsia="en-US" w:bidi="ar-SA"/>
    </w:rPr>
  </w:style>
  <w:style w:type="paragraph" w:customStyle="1" w:styleId="Text">
    <w:name w:val="Text"/>
    <w:aliases w:val="Graphic"/>
    <w:basedOn w:val="a"/>
    <w:link w:val="TextChar"/>
    <w:rsid w:val="00800C18"/>
    <w:pPr>
      <w:bidi w:val="0"/>
      <w:spacing w:before="120" w:line="270" w:lineRule="exact"/>
      <w:jc w:val="both"/>
    </w:pPr>
    <w:rPr>
      <w:rFonts w:ascii="Sabon" w:hAnsi="Sabon" w:cs="Times New Roman"/>
      <w:sz w:val="22"/>
      <w:szCs w:val="20"/>
      <w:lang w:val="en-GB" w:eastAsia="en-US" w:bidi="ar-SA"/>
    </w:rPr>
  </w:style>
  <w:style w:type="paragraph" w:styleId="a3">
    <w:name w:val="Date"/>
    <w:basedOn w:val="a"/>
    <w:next w:val="a"/>
    <w:rsid w:val="00800C18"/>
    <w:pPr>
      <w:bidi w:val="0"/>
      <w:spacing w:before="420" w:after="538" w:line="270" w:lineRule="exact"/>
    </w:pPr>
    <w:rPr>
      <w:rFonts w:ascii="Sabon" w:hAnsi="Sabon" w:cs="Times New Roman"/>
      <w:sz w:val="22"/>
      <w:szCs w:val="20"/>
      <w:lang w:val="en-GB" w:eastAsia="en-US" w:bidi="ar-SA"/>
    </w:rPr>
  </w:style>
  <w:style w:type="paragraph" w:styleId="a4">
    <w:name w:val="header"/>
    <w:basedOn w:val="a"/>
    <w:rsid w:val="007751AF"/>
    <w:pPr>
      <w:tabs>
        <w:tab w:val="center" w:pos="4153"/>
        <w:tab w:val="right" w:pos="8306"/>
      </w:tabs>
    </w:pPr>
  </w:style>
  <w:style w:type="paragraph" w:styleId="a5">
    <w:name w:val="footer"/>
    <w:basedOn w:val="a"/>
    <w:rsid w:val="007751AF"/>
    <w:pPr>
      <w:tabs>
        <w:tab w:val="center" w:pos="4153"/>
        <w:tab w:val="right" w:pos="8306"/>
      </w:tabs>
    </w:pPr>
  </w:style>
  <w:style w:type="character" w:styleId="a6">
    <w:name w:val="page number"/>
    <w:basedOn w:val="a0"/>
    <w:rsid w:val="007751AF"/>
  </w:style>
  <w:style w:type="paragraph" w:customStyle="1" w:styleId="CharChar">
    <w:name w:val="Char Char"/>
    <w:basedOn w:val="a"/>
    <w:rsid w:val="00DC6C0D"/>
    <w:pPr>
      <w:bidi w:val="0"/>
      <w:spacing w:after="160" w:line="240" w:lineRule="exact"/>
    </w:pPr>
    <w:rPr>
      <w:rFonts w:ascii="Verdana" w:hAnsi="Verdana" w:cs="Verdana"/>
      <w:sz w:val="20"/>
      <w:szCs w:val="20"/>
      <w:lang w:eastAsia="en-US" w:bidi="ar-SA"/>
    </w:rPr>
  </w:style>
  <w:style w:type="paragraph" w:customStyle="1" w:styleId="CharCharCharCharChar1CharCharCharCharCharChar">
    <w:name w:val="Char Char Char Char Char1 Char Char Char Char Char Char"/>
    <w:basedOn w:val="a"/>
    <w:rsid w:val="001B0DD2"/>
    <w:pPr>
      <w:bidi w:val="0"/>
      <w:spacing w:after="160" w:line="240" w:lineRule="exact"/>
    </w:pPr>
    <w:rPr>
      <w:rFonts w:ascii="Tahoma" w:hAnsi="Tahoma" w:cs="Times New Roman"/>
      <w:sz w:val="20"/>
      <w:szCs w:val="20"/>
      <w:lang w:eastAsia="en-US" w:bidi="ar-SA"/>
    </w:rPr>
  </w:style>
  <w:style w:type="character" w:customStyle="1" w:styleId="40">
    <w:name w:val="כותרת 4 תו"/>
    <w:basedOn w:val="a0"/>
    <w:link w:val="4"/>
    <w:uiPriority w:val="9"/>
    <w:rsid w:val="00B84818"/>
    <w:rPr>
      <w:rFonts w:ascii="Calibri" w:eastAsia="Times New Roman" w:hAnsi="Calibri" w:cs="Arial"/>
      <w:b/>
      <w:bCs/>
      <w:sz w:val="28"/>
      <w:szCs w:val="28"/>
      <w:lang w:eastAsia="he-IL"/>
    </w:rPr>
  </w:style>
  <w:style w:type="paragraph" w:styleId="a7">
    <w:name w:val="Body Text"/>
    <w:basedOn w:val="a"/>
    <w:link w:val="a8"/>
    <w:uiPriority w:val="99"/>
    <w:semiHidden/>
    <w:unhideWhenUsed/>
    <w:rsid w:val="00B84818"/>
    <w:pPr>
      <w:spacing w:after="120"/>
    </w:pPr>
  </w:style>
  <w:style w:type="character" w:customStyle="1" w:styleId="a8">
    <w:name w:val="גוף טקסט תו"/>
    <w:basedOn w:val="a0"/>
    <w:link w:val="a7"/>
    <w:uiPriority w:val="99"/>
    <w:semiHidden/>
    <w:rsid w:val="00B84818"/>
    <w:rPr>
      <w:rFonts w:cs="David"/>
      <w:sz w:val="24"/>
      <w:szCs w:val="24"/>
      <w:lang w:eastAsia="he-IL"/>
    </w:rPr>
  </w:style>
  <w:style w:type="paragraph" w:styleId="a9">
    <w:name w:val="Balloon Text"/>
    <w:basedOn w:val="a"/>
    <w:link w:val="aa"/>
    <w:uiPriority w:val="99"/>
    <w:semiHidden/>
    <w:unhideWhenUsed/>
    <w:rsid w:val="000C2846"/>
    <w:rPr>
      <w:rFonts w:ascii="Tahoma" w:hAnsi="Tahoma" w:cs="Tahoma"/>
      <w:sz w:val="16"/>
      <w:szCs w:val="16"/>
    </w:rPr>
  </w:style>
  <w:style w:type="character" w:customStyle="1" w:styleId="aa">
    <w:name w:val="טקסט בלונים תו"/>
    <w:basedOn w:val="a0"/>
    <w:link w:val="a9"/>
    <w:uiPriority w:val="99"/>
    <w:semiHidden/>
    <w:rsid w:val="000C2846"/>
    <w:rPr>
      <w:rFonts w:ascii="Tahoma" w:hAnsi="Tahoma" w:cs="Tahoma"/>
      <w:sz w:val="16"/>
      <w:szCs w:val="16"/>
      <w:lang w:eastAsia="he-IL"/>
    </w:rPr>
  </w:style>
  <w:style w:type="character" w:customStyle="1" w:styleId="20">
    <w:name w:val="כותרת 2 תו"/>
    <w:basedOn w:val="a0"/>
    <w:link w:val="2"/>
    <w:rsid w:val="000C2846"/>
    <w:rPr>
      <w:rFonts w:ascii="Arial" w:hAnsi="Arial" w:cs="Arial"/>
      <w:b/>
      <w:bCs/>
      <w:i/>
      <w:iCs/>
      <w:sz w:val="28"/>
      <w:szCs w:val="28"/>
      <w:lang w:eastAsia="he-IL"/>
    </w:rPr>
  </w:style>
  <w:style w:type="character" w:customStyle="1" w:styleId="TextChar">
    <w:name w:val="Text Char"/>
    <w:basedOn w:val="a0"/>
    <w:link w:val="Text"/>
    <w:rsid w:val="000C2846"/>
    <w:rPr>
      <w:rFonts w:ascii="Sabon" w:hAnsi="Sabon"/>
      <w:sz w:val="22"/>
      <w:lang w:val="en-GB" w:bidi="ar-SA"/>
    </w:rPr>
  </w:style>
  <w:style w:type="paragraph" w:customStyle="1" w:styleId="Nottoc-headings">
    <w:name w:val="Not toc-headings"/>
    <w:basedOn w:val="a"/>
    <w:next w:val="Text"/>
    <w:link w:val="Nottoc-headingsChar"/>
    <w:rsid w:val="000C2846"/>
    <w:pPr>
      <w:keepNext/>
      <w:keepLines/>
      <w:bidi w:val="0"/>
      <w:spacing w:before="240" w:after="60"/>
      <w:ind w:left="1701" w:hanging="1701"/>
    </w:pPr>
    <w:rPr>
      <w:rFonts w:ascii="Arial" w:hAnsi="Arial"/>
      <w:b/>
      <w:bCs/>
      <w:sz w:val="22"/>
      <w:szCs w:val="22"/>
      <w:lang w:val="en-GB"/>
    </w:rPr>
  </w:style>
  <w:style w:type="character" w:customStyle="1" w:styleId="Nottoc-headingsChar">
    <w:name w:val="Not toc-headings Char"/>
    <w:basedOn w:val="a0"/>
    <w:link w:val="Nottoc-headings"/>
    <w:rsid w:val="000C2846"/>
    <w:rPr>
      <w:rFonts w:ascii="Arial" w:hAnsi="Arial" w:cs="David"/>
      <w:b/>
      <w:bCs/>
      <w:sz w:val="22"/>
      <w:szCs w:val="22"/>
      <w:lang w:val="en-GB" w:eastAsia="he-IL"/>
    </w:rPr>
  </w:style>
  <w:style w:type="paragraph" w:customStyle="1" w:styleId="Comment">
    <w:name w:val="Comment"/>
    <w:basedOn w:val="a"/>
    <w:next w:val="Text"/>
    <w:link w:val="CommentChar"/>
    <w:rsid w:val="000C2846"/>
    <w:pPr>
      <w:keepLines/>
      <w:bidi w:val="0"/>
      <w:spacing w:before="120"/>
      <w:jc w:val="both"/>
    </w:pPr>
    <w:rPr>
      <w:rFonts w:eastAsia="MS Mincho" w:cs="Times New Roman"/>
      <w:i/>
      <w:color w:val="BF30B5"/>
      <w:lang w:bidi="ar-SA"/>
    </w:rPr>
  </w:style>
  <w:style w:type="character" w:customStyle="1" w:styleId="CommentChar">
    <w:name w:val="Comment Char"/>
    <w:link w:val="Comment"/>
    <w:rsid w:val="000C2846"/>
    <w:rPr>
      <w:rFonts w:eastAsia="MS Mincho"/>
      <w:i/>
      <w:color w:val="BF30B5"/>
      <w:sz w:val="24"/>
      <w:szCs w:val="24"/>
      <w:lang w:bidi="ar-SA"/>
    </w:rPr>
  </w:style>
  <w:style w:type="paragraph" w:styleId="ab">
    <w:name w:val="Document Map"/>
    <w:basedOn w:val="a"/>
    <w:link w:val="ac"/>
    <w:uiPriority w:val="99"/>
    <w:semiHidden/>
    <w:unhideWhenUsed/>
    <w:rsid w:val="000B5E6F"/>
    <w:rPr>
      <w:rFonts w:ascii="Tahoma" w:hAnsi="Tahoma" w:cs="Tahoma"/>
      <w:sz w:val="16"/>
      <w:szCs w:val="16"/>
    </w:rPr>
  </w:style>
  <w:style w:type="character" w:customStyle="1" w:styleId="ac">
    <w:name w:val="מפת מסמך תו"/>
    <w:basedOn w:val="a0"/>
    <w:link w:val="ab"/>
    <w:uiPriority w:val="99"/>
    <w:semiHidden/>
    <w:rsid w:val="000B5E6F"/>
    <w:rPr>
      <w:rFonts w:ascii="Tahoma" w:hAnsi="Tahoma" w:cs="Tahoma"/>
      <w:sz w:val="16"/>
      <w:szCs w:val="16"/>
      <w:lang w:eastAsia="he-IL"/>
    </w:rPr>
  </w:style>
  <w:style w:type="paragraph" w:customStyle="1" w:styleId="Char">
    <w:name w:val="Char תו תו"/>
    <w:basedOn w:val="a"/>
    <w:rsid w:val="00950344"/>
    <w:pPr>
      <w:bidi w:val="0"/>
      <w:spacing w:after="160" w:line="240" w:lineRule="exact"/>
    </w:pPr>
    <w:rPr>
      <w:rFonts w:ascii="Tahoma" w:hAnsi="Tahoma" w:cs="Times New Roman"/>
      <w:sz w:val="20"/>
      <w:szCs w:val="20"/>
      <w:lang w:eastAsia="en-US" w:bidi="ar-SA"/>
    </w:rPr>
  </w:style>
  <w:style w:type="paragraph" w:customStyle="1" w:styleId="Table">
    <w:name w:val="Table"/>
    <w:basedOn w:val="Nottoc-headings"/>
    <w:link w:val="TableChar"/>
    <w:rsid w:val="001B256D"/>
    <w:pPr>
      <w:keepNext w:val="0"/>
      <w:tabs>
        <w:tab w:val="left" w:pos="284"/>
      </w:tabs>
      <w:spacing w:before="40" w:after="20"/>
      <w:ind w:left="0" w:firstLine="0"/>
    </w:pPr>
    <w:rPr>
      <w:rFonts w:cs="Times New Roman"/>
      <w:b w:val="0"/>
      <w:bCs w:val="0"/>
      <w:sz w:val="20"/>
      <w:szCs w:val="20"/>
      <w:lang w:eastAsia="de-DE" w:bidi="ar-SA"/>
    </w:rPr>
  </w:style>
  <w:style w:type="character" w:customStyle="1" w:styleId="TableChar">
    <w:name w:val="Table Char"/>
    <w:link w:val="Table"/>
    <w:rsid w:val="001B256D"/>
    <w:rPr>
      <w:rFonts w:ascii="Arial" w:hAnsi="Arial"/>
      <w:lang w:val="en-GB" w:eastAsia="de-DE" w:bidi="ar-SA"/>
    </w:rPr>
  </w:style>
  <w:style w:type="character" w:styleId="ad">
    <w:name w:val="annotation reference"/>
    <w:basedOn w:val="a0"/>
    <w:semiHidden/>
    <w:rsid w:val="00057A26"/>
    <w:rPr>
      <w:sz w:val="16"/>
      <w:szCs w:val="16"/>
    </w:rPr>
  </w:style>
  <w:style w:type="paragraph" w:styleId="ae">
    <w:name w:val="List Paragraph"/>
    <w:basedOn w:val="a"/>
    <w:uiPriority w:val="34"/>
    <w:qFormat/>
    <w:rsid w:val="00036E46"/>
    <w:pPr>
      <w:ind w:left="720"/>
      <w:contextualSpacing/>
    </w:pPr>
  </w:style>
  <w:style w:type="character" w:customStyle="1" w:styleId="TextChar1">
    <w:name w:val="Text Char1"/>
    <w:rsid w:val="00C95D35"/>
    <w:rPr>
      <w:sz w:val="24"/>
      <w:szCs w:val="24"/>
      <w:lang w:val="en-US" w:eastAsia="en-US" w:bidi="ar-SA"/>
    </w:rPr>
  </w:style>
  <w:style w:type="paragraph" w:customStyle="1" w:styleId="Legend">
    <w:name w:val="Legend"/>
    <w:basedOn w:val="Table"/>
    <w:rsid w:val="00F03163"/>
    <w:rPr>
      <w:rFonts w:eastAsia="MS Mincho"/>
      <w:szCs w:val="24"/>
      <w:lang w:val="en-US" w:eastAsia="en-US"/>
    </w:rPr>
  </w:style>
  <w:style w:type="table" w:styleId="af">
    <w:name w:val="Table Grid"/>
    <w:basedOn w:val="a1"/>
    <w:uiPriority w:val="59"/>
    <w:rsid w:val="008E7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af1"/>
    <w:semiHidden/>
    <w:unhideWhenUsed/>
    <w:rsid w:val="001E06D6"/>
    <w:pPr>
      <w:bidi w:val="0"/>
    </w:pPr>
    <w:rPr>
      <w:rFonts w:eastAsia="MS Mincho" w:cs="Times New Roman"/>
      <w:sz w:val="20"/>
      <w:szCs w:val="20"/>
      <w:lang w:eastAsia="ja-JP" w:bidi="ar-SA"/>
    </w:rPr>
  </w:style>
  <w:style w:type="character" w:customStyle="1" w:styleId="af1">
    <w:name w:val="טקסט הערה תו"/>
    <w:basedOn w:val="a0"/>
    <w:link w:val="af0"/>
    <w:semiHidden/>
    <w:rsid w:val="001E06D6"/>
    <w:rPr>
      <w:rFonts w:eastAsia="MS Mincho"/>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4B"/>
    <w:pPr>
      <w:bidi/>
    </w:pPr>
    <w:rPr>
      <w:rFonts w:cs="David"/>
      <w:sz w:val="24"/>
      <w:szCs w:val="24"/>
      <w:lang w:eastAsia="he-IL"/>
    </w:rPr>
  </w:style>
  <w:style w:type="paragraph" w:styleId="1">
    <w:name w:val="heading 1"/>
    <w:basedOn w:val="a"/>
    <w:next w:val="a"/>
    <w:qFormat/>
    <w:rsid w:val="00943C7B"/>
    <w:pPr>
      <w:keepNext/>
      <w:jc w:val="center"/>
      <w:outlineLvl w:val="0"/>
    </w:pPr>
    <w:rPr>
      <w:rFonts w:cs="Courier New"/>
      <w:b/>
      <w:bCs/>
      <w:sz w:val="20"/>
      <w:szCs w:val="36"/>
      <w:u w:val="single"/>
      <w:lang w:eastAsia="en-US"/>
    </w:rPr>
  </w:style>
  <w:style w:type="paragraph" w:styleId="2">
    <w:name w:val="heading 2"/>
    <w:basedOn w:val="a"/>
    <w:next w:val="a"/>
    <w:link w:val="20"/>
    <w:qFormat/>
    <w:rsid w:val="000C2846"/>
    <w:pPr>
      <w:keepNext/>
      <w:spacing w:before="240" w:after="60"/>
      <w:outlineLvl w:val="1"/>
    </w:pPr>
    <w:rPr>
      <w:rFonts w:ascii="Arial" w:hAnsi="Arial" w:cs="Arial"/>
      <w:b/>
      <w:bCs/>
      <w:i/>
      <w:iCs/>
      <w:sz w:val="28"/>
      <w:szCs w:val="28"/>
    </w:rPr>
  </w:style>
  <w:style w:type="paragraph" w:styleId="3">
    <w:name w:val="heading 3"/>
    <w:basedOn w:val="a"/>
    <w:next w:val="a"/>
    <w:qFormat/>
    <w:rsid w:val="00943C7B"/>
    <w:pPr>
      <w:keepNext/>
      <w:ind w:right="-993"/>
      <w:jc w:val="center"/>
      <w:outlineLvl w:val="2"/>
    </w:pPr>
    <w:rPr>
      <w:rFonts w:cs="Tahoma"/>
      <w:b/>
      <w:bCs/>
      <w:sz w:val="20"/>
      <w:szCs w:val="28"/>
      <w:lang w:eastAsia="en-US"/>
    </w:rPr>
  </w:style>
  <w:style w:type="paragraph" w:styleId="4">
    <w:name w:val="heading 4"/>
    <w:basedOn w:val="a"/>
    <w:next w:val="a"/>
    <w:link w:val="40"/>
    <w:uiPriority w:val="9"/>
    <w:unhideWhenUsed/>
    <w:qFormat/>
    <w:rsid w:val="00B84818"/>
    <w:pPr>
      <w:keepNext/>
      <w:spacing w:before="240" w:after="60"/>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981824"/>
    <w:rPr>
      <w:noProof/>
    </w:rPr>
  </w:style>
  <w:style w:type="paragraph" w:styleId="30">
    <w:name w:val="Body Text 3"/>
    <w:basedOn w:val="a"/>
    <w:rsid w:val="00106FFC"/>
    <w:pPr>
      <w:spacing w:after="120"/>
    </w:pPr>
    <w:rPr>
      <w:sz w:val="16"/>
      <w:szCs w:val="16"/>
    </w:rPr>
  </w:style>
  <w:style w:type="paragraph" w:customStyle="1" w:styleId="paragraph">
    <w:name w:val="paragraph"/>
    <w:basedOn w:val="a"/>
    <w:rsid w:val="00800C18"/>
    <w:pPr>
      <w:bidi w:val="0"/>
      <w:spacing w:before="120" w:line="270" w:lineRule="exact"/>
      <w:jc w:val="both"/>
    </w:pPr>
    <w:rPr>
      <w:rFonts w:ascii="Sabon" w:hAnsi="Sabon" w:cs="Times New Roman"/>
      <w:sz w:val="22"/>
      <w:szCs w:val="20"/>
      <w:lang w:val="en-GB" w:eastAsia="en-US" w:bidi="ar-SA"/>
    </w:rPr>
  </w:style>
  <w:style w:type="paragraph" w:customStyle="1" w:styleId="Text">
    <w:name w:val="Text"/>
    <w:aliases w:val="Graphic"/>
    <w:basedOn w:val="a"/>
    <w:link w:val="TextChar"/>
    <w:rsid w:val="00800C18"/>
    <w:pPr>
      <w:bidi w:val="0"/>
      <w:spacing w:before="120" w:line="270" w:lineRule="exact"/>
      <w:jc w:val="both"/>
    </w:pPr>
    <w:rPr>
      <w:rFonts w:ascii="Sabon" w:hAnsi="Sabon" w:cs="Times New Roman"/>
      <w:sz w:val="22"/>
      <w:szCs w:val="20"/>
      <w:lang w:val="en-GB" w:eastAsia="en-US" w:bidi="ar-SA"/>
    </w:rPr>
  </w:style>
  <w:style w:type="paragraph" w:styleId="a3">
    <w:name w:val="Date"/>
    <w:basedOn w:val="a"/>
    <w:next w:val="a"/>
    <w:rsid w:val="00800C18"/>
    <w:pPr>
      <w:bidi w:val="0"/>
      <w:spacing w:before="420" w:after="538" w:line="270" w:lineRule="exact"/>
    </w:pPr>
    <w:rPr>
      <w:rFonts w:ascii="Sabon" w:hAnsi="Sabon" w:cs="Times New Roman"/>
      <w:sz w:val="22"/>
      <w:szCs w:val="20"/>
      <w:lang w:val="en-GB" w:eastAsia="en-US" w:bidi="ar-SA"/>
    </w:rPr>
  </w:style>
  <w:style w:type="paragraph" w:styleId="a4">
    <w:name w:val="header"/>
    <w:basedOn w:val="a"/>
    <w:rsid w:val="007751AF"/>
    <w:pPr>
      <w:tabs>
        <w:tab w:val="center" w:pos="4153"/>
        <w:tab w:val="right" w:pos="8306"/>
      </w:tabs>
    </w:pPr>
  </w:style>
  <w:style w:type="paragraph" w:styleId="a5">
    <w:name w:val="footer"/>
    <w:basedOn w:val="a"/>
    <w:rsid w:val="007751AF"/>
    <w:pPr>
      <w:tabs>
        <w:tab w:val="center" w:pos="4153"/>
        <w:tab w:val="right" w:pos="8306"/>
      </w:tabs>
    </w:pPr>
  </w:style>
  <w:style w:type="character" w:styleId="a6">
    <w:name w:val="page number"/>
    <w:basedOn w:val="a0"/>
    <w:rsid w:val="007751AF"/>
  </w:style>
  <w:style w:type="paragraph" w:customStyle="1" w:styleId="CharChar">
    <w:name w:val="Char Char"/>
    <w:basedOn w:val="a"/>
    <w:rsid w:val="00DC6C0D"/>
    <w:pPr>
      <w:bidi w:val="0"/>
      <w:spacing w:after="160" w:line="240" w:lineRule="exact"/>
    </w:pPr>
    <w:rPr>
      <w:rFonts w:ascii="Verdana" w:hAnsi="Verdana" w:cs="Verdana"/>
      <w:sz w:val="20"/>
      <w:szCs w:val="20"/>
      <w:lang w:eastAsia="en-US" w:bidi="ar-SA"/>
    </w:rPr>
  </w:style>
  <w:style w:type="paragraph" w:customStyle="1" w:styleId="CharCharCharCharChar1CharCharCharCharCharChar">
    <w:name w:val="Char Char Char Char Char1 Char Char Char Char Char Char"/>
    <w:basedOn w:val="a"/>
    <w:rsid w:val="001B0DD2"/>
    <w:pPr>
      <w:bidi w:val="0"/>
      <w:spacing w:after="160" w:line="240" w:lineRule="exact"/>
    </w:pPr>
    <w:rPr>
      <w:rFonts w:ascii="Tahoma" w:hAnsi="Tahoma" w:cs="Times New Roman"/>
      <w:sz w:val="20"/>
      <w:szCs w:val="20"/>
      <w:lang w:eastAsia="en-US" w:bidi="ar-SA"/>
    </w:rPr>
  </w:style>
  <w:style w:type="character" w:customStyle="1" w:styleId="40">
    <w:name w:val="כותרת 4 תו"/>
    <w:basedOn w:val="a0"/>
    <w:link w:val="4"/>
    <w:uiPriority w:val="9"/>
    <w:rsid w:val="00B84818"/>
    <w:rPr>
      <w:rFonts w:ascii="Calibri" w:eastAsia="Times New Roman" w:hAnsi="Calibri" w:cs="Arial"/>
      <w:b/>
      <w:bCs/>
      <w:sz w:val="28"/>
      <w:szCs w:val="28"/>
      <w:lang w:eastAsia="he-IL"/>
    </w:rPr>
  </w:style>
  <w:style w:type="paragraph" w:styleId="a7">
    <w:name w:val="Body Text"/>
    <w:basedOn w:val="a"/>
    <w:link w:val="a8"/>
    <w:uiPriority w:val="99"/>
    <w:semiHidden/>
    <w:unhideWhenUsed/>
    <w:rsid w:val="00B84818"/>
    <w:pPr>
      <w:spacing w:after="120"/>
    </w:pPr>
  </w:style>
  <w:style w:type="character" w:customStyle="1" w:styleId="a8">
    <w:name w:val="גוף טקסט תו"/>
    <w:basedOn w:val="a0"/>
    <w:link w:val="a7"/>
    <w:uiPriority w:val="99"/>
    <w:semiHidden/>
    <w:rsid w:val="00B84818"/>
    <w:rPr>
      <w:rFonts w:cs="David"/>
      <w:sz w:val="24"/>
      <w:szCs w:val="24"/>
      <w:lang w:eastAsia="he-IL"/>
    </w:rPr>
  </w:style>
  <w:style w:type="paragraph" w:styleId="a9">
    <w:name w:val="Balloon Text"/>
    <w:basedOn w:val="a"/>
    <w:link w:val="aa"/>
    <w:uiPriority w:val="99"/>
    <w:semiHidden/>
    <w:unhideWhenUsed/>
    <w:rsid w:val="000C2846"/>
    <w:rPr>
      <w:rFonts w:ascii="Tahoma" w:hAnsi="Tahoma" w:cs="Tahoma"/>
      <w:sz w:val="16"/>
      <w:szCs w:val="16"/>
    </w:rPr>
  </w:style>
  <w:style w:type="character" w:customStyle="1" w:styleId="aa">
    <w:name w:val="טקסט בלונים תו"/>
    <w:basedOn w:val="a0"/>
    <w:link w:val="a9"/>
    <w:uiPriority w:val="99"/>
    <w:semiHidden/>
    <w:rsid w:val="000C2846"/>
    <w:rPr>
      <w:rFonts w:ascii="Tahoma" w:hAnsi="Tahoma" w:cs="Tahoma"/>
      <w:sz w:val="16"/>
      <w:szCs w:val="16"/>
      <w:lang w:eastAsia="he-IL"/>
    </w:rPr>
  </w:style>
  <w:style w:type="character" w:customStyle="1" w:styleId="20">
    <w:name w:val="כותרת 2 תו"/>
    <w:basedOn w:val="a0"/>
    <w:link w:val="2"/>
    <w:rsid w:val="000C2846"/>
    <w:rPr>
      <w:rFonts w:ascii="Arial" w:hAnsi="Arial" w:cs="Arial"/>
      <w:b/>
      <w:bCs/>
      <w:i/>
      <w:iCs/>
      <w:sz w:val="28"/>
      <w:szCs w:val="28"/>
      <w:lang w:eastAsia="he-IL"/>
    </w:rPr>
  </w:style>
  <w:style w:type="character" w:customStyle="1" w:styleId="TextChar">
    <w:name w:val="Text Char"/>
    <w:basedOn w:val="a0"/>
    <w:link w:val="Text"/>
    <w:rsid w:val="000C2846"/>
    <w:rPr>
      <w:rFonts w:ascii="Sabon" w:hAnsi="Sabon"/>
      <w:sz w:val="22"/>
      <w:lang w:val="en-GB" w:bidi="ar-SA"/>
    </w:rPr>
  </w:style>
  <w:style w:type="paragraph" w:customStyle="1" w:styleId="Nottoc-headings">
    <w:name w:val="Not toc-headings"/>
    <w:basedOn w:val="a"/>
    <w:next w:val="Text"/>
    <w:link w:val="Nottoc-headingsChar"/>
    <w:rsid w:val="000C2846"/>
    <w:pPr>
      <w:keepNext/>
      <w:keepLines/>
      <w:bidi w:val="0"/>
      <w:spacing w:before="240" w:after="60"/>
      <w:ind w:left="1701" w:hanging="1701"/>
    </w:pPr>
    <w:rPr>
      <w:rFonts w:ascii="Arial" w:hAnsi="Arial"/>
      <w:b/>
      <w:bCs/>
      <w:sz w:val="22"/>
      <w:szCs w:val="22"/>
      <w:lang w:val="en-GB"/>
    </w:rPr>
  </w:style>
  <w:style w:type="character" w:customStyle="1" w:styleId="Nottoc-headingsChar">
    <w:name w:val="Not toc-headings Char"/>
    <w:basedOn w:val="a0"/>
    <w:link w:val="Nottoc-headings"/>
    <w:rsid w:val="000C2846"/>
    <w:rPr>
      <w:rFonts w:ascii="Arial" w:hAnsi="Arial" w:cs="David"/>
      <w:b/>
      <w:bCs/>
      <w:sz w:val="22"/>
      <w:szCs w:val="22"/>
      <w:lang w:val="en-GB" w:eastAsia="he-IL"/>
    </w:rPr>
  </w:style>
  <w:style w:type="paragraph" w:customStyle="1" w:styleId="Comment">
    <w:name w:val="Comment"/>
    <w:basedOn w:val="a"/>
    <w:next w:val="Text"/>
    <w:link w:val="CommentChar"/>
    <w:rsid w:val="000C2846"/>
    <w:pPr>
      <w:keepLines/>
      <w:bidi w:val="0"/>
      <w:spacing w:before="120"/>
      <w:jc w:val="both"/>
    </w:pPr>
    <w:rPr>
      <w:rFonts w:eastAsia="MS Mincho" w:cs="Times New Roman"/>
      <w:i/>
      <w:color w:val="BF30B5"/>
      <w:lang w:bidi="ar-SA"/>
    </w:rPr>
  </w:style>
  <w:style w:type="character" w:customStyle="1" w:styleId="CommentChar">
    <w:name w:val="Comment Char"/>
    <w:link w:val="Comment"/>
    <w:rsid w:val="000C2846"/>
    <w:rPr>
      <w:rFonts w:eastAsia="MS Mincho"/>
      <w:i/>
      <w:color w:val="BF30B5"/>
      <w:sz w:val="24"/>
      <w:szCs w:val="24"/>
      <w:lang w:bidi="ar-SA"/>
    </w:rPr>
  </w:style>
  <w:style w:type="paragraph" w:styleId="ab">
    <w:name w:val="Document Map"/>
    <w:basedOn w:val="a"/>
    <w:link w:val="ac"/>
    <w:uiPriority w:val="99"/>
    <w:semiHidden/>
    <w:unhideWhenUsed/>
    <w:rsid w:val="000B5E6F"/>
    <w:rPr>
      <w:rFonts w:ascii="Tahoma" w:hAnsi="Tahoma" w:cs="Tahoma"/>
      <w:sz w:val="16"/>
      <w:szCs w:val="16"/>
    </w:rPr>
  </w:style>
  <w:style w:type="character" w:customStyle="1" w:styleId="ac">
    <w:name w:val="מפת מסמך תו"/>
    <w:basedOn w:val="a0"/>
    <w:link w:val="ab"/>
    <w:uiPriority w:val="99"/>
    <w:semiHidden/>
    <w:rsid w:val="000B5E6F"/>
    <w:rPr>
      <w:rFonts w:ascii="Tahoma" w:hAnsi="Tahoma" w:cs="Tahoma"/>
      <w:sz w:val="16"/>
      <w:szCs w:val="16"/>
      <w:lang w:eastAsia="he-IL"/>
    </w:rPr>
  </w:style>
  <w:style w:type="paragraph" w:customStyle="1" w:styleId="Char">
    <w:name w:val="Char תו תו"/>
    <w:basedOn w:val="a"/>
    <w:rsid w:val="00950344"/>
    <w:pPr>
      <w:bidi w:val="0"/>
      <w:spacing w:after="160" w:line="240" w:lineRule="exact"/>
    </w:pPr>
    <w:rPr>
      <w:rFonts w:ascii="Tahoma" w:hAnsi="Tahoma" w:cs="Times New Roman"/>
      <w:sz w:val="20"/>
      <w:szCs w:val="20"/>
      <w:lang w:eastAsia="en-US" w:bidi="ar-SA"/>
    </w:rPr>
  </w:style>
  <w:style w:type="paragraph" w:customStyle="1" w:styleId="Table">
    <w:name w:val="Table"/>
    <w:basedOn w:val="Nottoc-headings"/>
    <w:link w:val="TableChar"/>
    <w:rsid w:val="001B256D"/>
    <w:pPr>
      <w:keepNext w:val="0"/>
      <w:tabs>
        <w:tab w:val="left" w:pos="284"/>
      </w:tabs>
      <w:spacing w:before="40" w:after="20"/>
      <w:ind w:left="0" w:firstLine="0"/>
    </w:pPr>
    <w:rPr>
      <w:rFonts w:cs="Times New Roman"/>
      <w:b w:val="0"/>
      <w:bCs w:val="0"/>
      <w:sz w:val="20"/>
      <w:szCs w:val="20"/>
      <w:lang w:eastAsia="de-DE" w:bidi="ar-SA"/>
    </w:rPr>
  </w:style>
  <w:style w:type="character" w:customStyle="1" w:styleId="TableChar">
    <w:name w:val="Table Char"/>
    <w:link w:val="Table"/>
    <w:rsid w:val="001B256D"/>
    <w:rPr>
      <w:rFonts w:ascii="Arial" w:hAnsi="Arial"/>
      <w:lang w:val="en-GB" w:eastAsia="de-DE" w:bidi="ar-SA"/>
    </w:rPr>
  </w:style>
  <w:style w:type="character" w:styleId="ad">
    <w:name w:val="annotation reference"/>
    <w:basedOn w:val="a0"/>
    <w:semiHidden/>
    <w:rsid w:val="00057A26"/>
    <w:rPr>
      <w:sz w:val="16"/>
      <w:szCs w:val="16"/>
    </w:rPr>
  </w:style>
  <w:style w:type="paragraph" w:styleId="ae">
    <w:name w:val="List Paragraph"/>
    <w:basedOn w:val="a"/>
    <w:uiPriority w:val="34"/>
    <w:qFormat/>
    <w:rsid w:val="00036E46"/>
    <w:pPr>
      <w:ind w:left="720"/>
      <w:contextualSpacing/>
    </w:pPr>
  </w:style>
  <w:style w:type="character" w:customStyle="1" w:styleId="TextChar1">
    <w:name w:val="Text Char1"/>
    <w:rsid w:val="00C95D35"/>
    <w:rPr>
      <w:sz w:val="24"/>
      <w:szCs w:val="24"/>
      <w:lang w:val="en-US" w:eastAsia="en-US" w:bidi="ar-SA"/>
    </w:rPr>
  </w:style>
  <w:style w:type="paragraph" w:customStyle="1" w:styleId="Legend">
    <w:name w:val="Legend"/>
    <w:basedOn w:val="Table"/>
    <w:rsid w:val="00F03163"/>
    <w:rPr>
      <w:rFonts w:eastAsia="MS Mincho"/>
      <w:szCs w:val="24"/>
      <w:lang w:val="en-US" w:eastAsia="en-US"/>
    </w:rPr>
  </w:style>
  <w:style w:type="table" w:styleId="af">
    <w:name w:val="Table Grid"/>
    <w:basedOn w:val="a1"/>
    <w:uiPriority w:val="59"/>
    <w:rsid w:val="008E7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af1"/>
    <w:semiHidden/>
    <w:unhideWhenUsed/>
    <w:rsid w:val="001E06D6"/>
    <w:pPr>
      <w:bidi w:val="0"/>
    </w:pPr>
    <w:rPr>
      <w:rFonts w:eastAsia="MS Mincho" w:cs="Times New Roman"/>
      <w:sz w:val="20"/>
      <w:szCs w:val="20"/>
      <w:lang w:eastAsia="ja-JP" w:bidi="ar-SA"/>
    </w:rPr>
  </w:style>
  <w:style w:type="character" w:customStyle="1" w:styleId="af1">
    <w:name w:val="טקסט הערה תו"/>
    <w:basedOn w:val="a0"/>
    <w:link w:val="af0"/>
    <w:semiHidden/>
    <w:rsid w:val="001E06D6"/>
    <w:rPr>
      <w:rFonts w:eastAsia="MS Mincho"/>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77111">
      <w:bodyDiv w:val="1"/>
      <w:marLeft w:val="0"/>
      <w:marRight w:val="0"/>
      <w:marTop w:val="0"/>
      <w:marBottom w:val="0"/>
      <w:divBdr>
        <w:top w:val="none" w:sz="0" w:space="0" w:color="auto"/>
        <w:left w:val="none" w:sz="0" w:space="0" w:color="auto"/>
        <w:bottom w:val="none" w:sz="0" w:space="0" w:color="auto"/>
        <w:right w:val="none" w:sz="0" w:space="0" w:color="auto"/>
      </w:divBdr>
    </w:div>
    <w:div w:id="640426060">
      <w:bodyDiv w:val="1"/>
      <w:marLeft w:val="0"/>
      <w:marRight w:val="0"/>
      <w:marTop w:val="0"/>
      <w:marBottom w:val="0"/>
      <w:divBdr>
        <w:top w:val="none" w:sz="0" w:space="0" w:color="auto"/>
        <w:left w:val="none" w:sz="0" w:space="0" w:color="auto"/>
        <w:bottom w:val="none" w:sz="0" w:space="0" w:color="auto"/>
        <w:right w:val="none" w:sz="0" w:space="0" w:color="auto"/>
      </w:divBdr>
    </w:div>
    <w:div w:id="1458525710">
      <w:bodyDiv w:val="1"/>
      <w:marLeft w:val="0"/>
      <w:marRight w:val="0"/>
      <w:marTop w:val="0"/>
      <w:marBottom w:val="0"/>
      <w:divBdr>
        <w:top w:val="none" w:sz="0" w:space="0" w:color="auto"/>
        <w:left w:val="none" w:sz="0" w:space="0" w:color="auto"/>
        <w:bottom w:val="none" w:sz="0" w:space="0" w:color="auto"/>
        <w:right w:val="none" w:sz="0" w:space="0" w:color="auto"/>
      </w:divBdr>
    </w:div>
    <w:div w:id="1546990457">
      <w:bodyDiv w:val="1"/>
      <w:marLeft w:val="0"/>
      <w:marRight w:val="0"/>
      <w:marTop w:val="0"/>
      <w:marBottom w:val="0"/>
      <w:divBdr>
        <w:top w:val="none" w:sz="0" w:space="0" w:color="auto"/>
        <w:left w:val="none" w:sz="0" w:space="0" w:color="auto"/>
        <w:bottom w:val="none" w:sz="0" w:space="0" w:color="auto"/>
        <w:right w:val="none" w:sz="0" w:space="0" w:color="auto"/>
      </w:divBdr>
    </w:div>
    <w:div w:id="1566376190">
      <w:bodyDiv w:val="1"/>
      <w:marLeft w:val="0"/>
      <w:marRight w:val="0"/>
      <w:marTop w:val="0"/>
      <w:marBottom w:val="0"/>
      <w:divBdr>
        <w:top w:val="none" w:sz="0" w:space="0" w:color="auto"/>
        <w:left w:val="none" w:sz="0" w:space="0" w:color="auto"/>
        <w:bottom w:val="none" w:sz="0" w:space="0" w:color="auto"/>
        <w:right w:val="none" w:sz="0" w:space="0" w:color="auto"/>
      </w:divBdr>
    </w:div>
    <w:div w:id="1591701200">
      <w:bodyDiv w:val="1"/>
      <w:marLeft w:val="0"/>
      <w:marRight w:val="0"/>
      <w:marTop w:val="0"/>
      <w:marBottom w:val="0"/>
      <w:divBdr>
        <w:top w:val="none" w:sz="0" w:space="0" w:color="auto"/>
        <w:left w:val="none" w:sz="0" w:space="0" w:color="auto"/>
        <w:bottom w:val="none" w:sz="0" w:space="0" w:color="auto"/>
        <w:right w:val="none" w:sz="0" w:space="0" w:color="auto"/>
      </w:divBdr>
    </w:div>
    <w:div w:id="1716150238">
      <w:bodyDiv w:val="1"/>
      <w:marLeft w:val="0"/>
      <w:marRight w:val="0"/>
      <w:marTop w:val="0"/>
      <w:marBottom w:val="0"/>
      <w:divBdr>
        <w:top w:val="none" w:sz="0" w:space="0" w:color="auto"/>
        <w:left w:val="none" w:sz="0" w:space="0" w:color="auto"/>
        <w:bottom w:val="none" w:sz="0" w:space="0" w:color="auto"/>
        <w:right w:val="none" w:sz="0" w:space="0" w:color="auto"/>
      </w:divBdr>
    </w:div>
    <w:div w:id="1856377585">
      <w:bodyDiv w:val="1"/>
      <w:marLeft w:val="0"/>
      <w:marRight w:val="0"/>
      <w:marTop w:val="0"/>
      <w:marBottom w:val="0"/>
      <w:divBdr>
        <w:top w:val="none" w:sz="0" w:space="0" w:color="auto"/>
        <w:left w:val="none" w:sz="0" w:space="0" w:color="auto"/>
        <w:bottom w:val="none" w:sz="0" w:space="0" w:color="auto"/>
        <w:right w:val="none" w:sz="0" w:space="0" w:color="auto"/>
      </w:divBdr>
    </w:div>
    <w:div w:id="20144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oNumber xmlns="43f5c83f-d7ad-4276-a107-8019a824ecd5">172487816</AutoNumber>
    <REQUESTNUMBER xmlns="43f5c83f-d7ad-4276-a107-8019a824ecd5">94473</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47426</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REQUESTTYPE>
    <UCOMMENTS xmlns="43f5c83f-d7ad-4276-a107-8019a824ecd5">טופס החמרה</UCOMMENTS>
    <OWNER xmlns="43f5c83f-d7ad-4276-a107-8019a824ecd5">700</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150</SAPNAME>
    <SDDocumentSource xmlns="43f5c83f-d7ad-4276-a107-8019a824ecd5" xsi:nil="true"/>
    <SDImportance xmlns="43f5c83f-d7ad-4276-a107-8019a824ecd5" xsi:nil="true"/>
    <REGISTRATIONNUMBER xmlns="43f5c83f-d7ad-4276-a107-8019a824ecd5">3327000</REGISTRATIONNUMBER>
    <SDCategories xmlns="43f5c83f-d7ad-4276-a107-8019a824ecd5" xsi:nil="true"/>
    <SDDocDate xmlns="43f5c83f-d7ad-4276-a107-8019a824ecd5">1903-03-03T06:00:01+00:00</SDDocDate>
    <DRAGOBJID xmlns="43f5c83f-d7ad-4276-a107-8019a824ecd5">3327000</DRAGOBJID>
    <mossuploaddate xmlns="43f5c83f-d7ad-4276-a107-8019a824ecd5">2014-03-25 15:06:57</mossuploaddate>
    <SDExternalEntityConnected xmlns="43f5c83f-d7ad-4276-a107-8019a824ec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63120-C32C-4112-AAF0-F3EFFEE45DA0}"/>
</file>

<file path=customXml/itemProps2.xml><?xml version="1.0" encoding="utf-8"?>
<ds:datastoreItem xmlns:ds="http://schemas.openxmlformats.org/officeDocument/2006/customXml" ds:itemID="{86ECE978-3AF1-47E4-BE3D-532F97616C87}"/>
</file>

<file path=customXml/itemProps3.xml><?xml version="1.0" encoding="utf-8"?>
<ds:datastoreItem xmlns:ds="http://schemas.openxmlformats.org/officeDocument/2006/customXml" ds:itemID="{7B539C07-DB72-4E9E-B36C-D51FC071E01F}"/>
</file>

<file path=customXml/itemProps4.xml><?xml version="1.0" encoding="utf-8"?>
<ds:datastoreItem xmlns:ds="http://schemas.openxmlformats.org/officeDocument/2006/customXml" ds:itemID="{16F158E5-81DA-429F-A102-FFAEEC21F892}"/>
</file>

<file path=docProps/app.xml><?xml version="1.0" encoding="utf-8"?>
<Properties xmlns="http://schemas.openxmlformats.org/officeDocument/2006/extended-properties" xmlns:vt="http://schemas.openxmlformats.org/officeDocument/2006/docPropsVTypes">
  <Template>Normal.dotm</Template>
  <TotalTime>0</TotalTime>
  <Pages>6</Pages>
  <Words>1926</Words>
  <Characters>9633</Characters>
  <Application>Microsoft Office Word</Application>
  <DocSecurity>0</DocSecurity>
  <Lines>80</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Ministry of Health</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Gilenya 33270</dc:title>
  <dc:creator>g</dc:creator>
  <cp:lastModifiedBy>דורית פרידלר</cp:lastModifiedBy>
  <cp:revision>2</cp:revision>
  <cp:lastPrinted>2013-11-03T13:17:00Z</cp:lastPrinted>
  <dcterms:created xsi:type="dcterms:W3CDTF">2014-03-25T13:06:00Z</dcterms:created>
  <dcterms:modified xsi:type="dcterms:W3CDTF">2014-03-25T13:06:00Z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2</vt:lpwstr>
  </property>
  <property fmtid="{D5CDD505-2E9C-101B-9397-08002B2CF9AE}" pid="4" name="DOCM_CREATION_DATE">
    <vt:lpwstr>null</vt:lpwstr>
  </property>
</Properties>
</file>