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A4" w:rsidRPr="006268B7" w:rsidRDefault="00E013A4">
      <w:pPr>
        <w:pStyle w:val="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268B7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הודעה על </w:t>
      </w:r>
      <w:r w:rsidRPr="006268B7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החמרה  (</w:t>
      </w:r>
      <w:r w:rsidRPr="006268B7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מידע </w:t>
      </w:r>
      <w:r w:rsidRPr="006268B7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בטיחות)  בעלון לצרכן </w:t>
      </w:r>
    </w:p>
    <w:p w:rsidR="00E013A4" w:rsidRDefault="00E013A4">
      <w:pPr>
        <w:rPr>
          <w:b/>
          <w:bCs/>
          <w:rtl/>
        </w:rPr>
      </w:pPr>
    </w:p>
    <w:p w:rsidR="00E013A4" w:rsidRPr="00E14732" w:rsidRDefault="00EB25DD" w:rsidP="00E537B2">
      <w:pPr>
        <w:spacing w:line="360" w:lineRule="auto"/>
        <w:rPr>
          <w:rFonts w:cs="David Transparent"/>
          <w:b/>
          <w:bCs/>
          <w:sz w:val="22"/>
          <w:szCs w:val="22"/>
          <w:rtl/>
        </w:rPr>
      </w:pPr>
      <w:r w:rsidRPr="00E14732">
        <w:rPr>
          <w:rFonts w:cs="David Transparent" w:hint="cs"/>
          <w:b/>
          <w:bCs/>
          <w:sz w:val="22"/>
          <w:szCs w:val="22"/>
          <w:rtl/>
        </w:rPr>
        <w:t xml:space="preserve"> תאריך __</w:t>
      </w:r>
      <w:r w:rsidR="00E537B2" w:rsidRPr="00E14732">
        <w:rPr>
          <w:rFonts w:cs="David Transparent" w:hint="cs"/>
          <w:b/>
          <w:bCs/>
          <w:sz w:val="22"/>
          <w:szCs w:val="22"/>
          <w:rtl/>
        </w:rPr>
        <w:t>02.10</w:t>
      </w:r>
      <w:r w:rsidR="006252B7" w:rsidRPr="00E14732">
        <w:rPr>
          <w:rFonts w:cs="David Transparent" w:hint="cs"/>
          <w:b/>
          <w:bCs/>
          <w:sz w:val="22"/>
          <w:szCs w:val="22"/>
          <w:u w:val="single"/>
          <w:rtl/>
        </w:rPr>
        <w:t>.201</w:t>
      </w:r>
      <w:r w:rsidR="00265102" w:rsidRPr="00E14732">
        <w:rPr>
          <w:rFonts w:cs="David Transparent" w:hint="cs"/>
          <w:b/>
          <w:bCs/>
          <w:sz w:val="22"/>
          <w:szCs w:val="22"/>
          <w:u w:val="single"/>
          <w:rtl/>
        </w:rPr>
        <w:t>3</w:t>
      </w:r>
      <w:r w:rsidR="00E013A4" w:rsidRPr="00E14732">
        <w:rPr>
          <w:rFonts w:cs="David Transparent" w:hint="cs"/>
          <w:b/>
          <w:bCs/>
          <w:sz w:val="22"/>
          <w:szCs w:val="22"/>
          <w:rtl/>
        </w:rPr>
        <w:t>____</w:t>
      </w:r>
    </w:p>
    <w:p w:rsidR="00DD328A" w:rsidRPr="00E14732" w:rsidRDefault="00DD328A" w:rsidP="006A3BCA">
      <w:pPr>
        <w:spacing w:line="360" w:lineRule="auto"/>
        <w:rPr>
          <w:rFonts w:cs="David Transparent"/>
          <w:b/>
          <w:bCs/>
          <w:sz w:val="22"/>
          <w:szCs w:val="22"/>
          <w:rtl/>
        </w:rPr>
      </w:pPr>
      <w:r w:rsidRPr="00E14732">
        <w:rPr>
          <w:rFonts w:cs="David Transparent" w:hint="cs"/>
          <w:b/>
          <w:bCs/>
          <w:sz w:val="22"/>
          <w:szCs w:val="22"/>
          <w:rtl/>
        </w:rPr>
        <w:t>שם תכשיר באנגלית</w:t>
      </w:r>
      <w:r w:rsidR="007A4917" w:rsidRPr="00E14732">
        <w:rPr>
          <w:rFonts w:cs="David Transparent" w:hint="cs"/>
          <w:b/>
          <w:bCs/>
          <w:sz w:val="22"/>
          <w:szCs w:val="22"/>
          <w:rtl/>
        </w:rPr>
        <w:t>:</w:t>
      </w:r>
      <w:r w:rsidRPr="00E14732">
        <w:rPr>
          <w:rFonts w:cs="David Transparent" w:hint="cs"/>
          <w:b/>
          <w:bCs/>
          <w:sz w:val="22"/>
          <w:szCs w:val="22"/>
          <w:rtl/>
        </w:rPr>
        <w:t xml:space="preserve">   </w:t>
      </w:r>
      <w:r w:rsidR="006A3BCA" w:rsidRPr="00E14732">
        <w:rPr>
          <w:rFonts w:cs="David Transparent"/>
          <w:b/>
          <w:bCs/>
          <w:sz w:val="22"/>
          <w:szCs w:val="22"/>
          <w:u w:val="single"/>
        </w:rPr>
        <w:t>CLEXANE, CLEXANE FORTE</w:t>
      </w:r>
      <w:r w:rsidRPr="00E14732">
        <w:rPr>
          <w:rFonts w:cs="David Transparent"/>
          <w:sz w:val="22"/>
          <w:szCs w:val="22"/>
          <w:u w:val="single"/>
        </w:rPr>
        <w:t xml:space="preserve"> </w:t>
      </w:r>
    </w:p>
    <w:p w:rsidR="006A3BCA" w:rsidRPr="00E14732" w:rsidRDefault="006A3BCA" w:rsidP="007A4917">
      <w:pPr>
        <w:spacing w:line="360" w:lineRule="auto"/>
        <w:rPr>
          <w:rFonts w:cs="David Transparent"/>
          <w:b/>
          <w:bCs/>
          <w:sz w:val="22"/>
          <w:szCs w:val="22"/>
          <w:rtl/>
        </w:rPr>
      </w:pPr>
      <w:r w:rsidRPr="00E14732">
        <w:rPr>
          <w:rFonts w:cs="David Transparent" w:hint="cs"/>
          <w:b/>
          <w:bCs/>
          <w:sz w:val="22"/>
          <w:szCs w:val="22"/>
          <w:rtl/>
        </w:rPr>
        <w:t>מספר רישום</w:t>
      </w:r>
      <w:r w:rsidR="007A4917" w:rsidRPr="00E14732">
        <w:rPr>
          <w:rFonts w:cs="David Transparent" w:hint="cs"/>
          <w:b/>
          <w:bCs/>
          <w:sz w:val="22"/>
          <w:szCs w:val="22"/>
          <w:rtl/>
        </w:rPr>
        <w:t>:</w:t>
      </w:r>
      <w:r w:rsidRPr="00E14732">
        <w:rPr>
          <w:rFonts w:cs="David Transparent"/>
          <w:b/>
          <w:bCs/>
          <w:sz w:val="22"/>
          <w:szCs w:val="22"/>
          <w:u w:val="single"/>
        </w:rPr>
        <w:t>46772603700/11, 1206030007</w:t>
      </w:r>
      <w:r w:rsidRPr="00E14732">
        <w:rPr>
          <w:rFonts w:cs="David Transparent"/>
          <w:b/>
          <w:bCs/>
          <w:sz w:val="22"/>
          <w:szCs w:val="22"/>
        </w:rPr>
        <w:t xml:space="preserve">  </w:t>
      </w:r>
      <w:r w:rsidRPr="00E14732">
        <w:rPr>
          <w:rFonts w:cs="David Transparent" w:hint="cs"/>
          <w:b/>
          <w:bCs/>
          <w:sz w:val="22"/>
          <w:szCs w:val="22"/>
          <w:rtl/>
        </w:rPr>
        <w:t xml:space="preserve"> </w:t>
      </w:r>
    </w:p>
    <w:p w:rsidR="00E013A4" w:rsidRPr="00E14732" w:rsidRDefault="00E013A4" w:rsidP="005220BB">
      <w:pPr>
        <w:spacing w:line="360" w:lineRule="auto"/>
        <w:rPr>
          <w:rFonts w:cs="David Transparent"/>
          <w:b/>
          <w:bCs/>
          <w:sz w:val="22"/>
          <w:szCs w:val="22"/>
          <w:u w:val="single"/>
          <w:rtl/>
        </w:rPr>
      </w:pPr>
      <w:r w:rsidRPr="00E14732">
        <w:rPr>
          <w:rFonts w:cs="David Transparent" w:hint="cs"/>
          <w:b/>
          <w:bCs/>
          <w:sz w:val="22"/>
          <w:szCs w:val="22"/>
          <w:rtl/>
        </w:rPr>
        <w:t>שם בעל הרישום</w:t>
      </w:r>
      <w:r w:rsidR="007A4917" w:rsidRPr="00E14732">
        <w:rPr>
          <w:rFonts w:cs="David Transparent" w:hint="cs"/>
          <w:b/>
          <w:bCs/>
          <w:sz w:val="22"/>
          <w:szCs w:val="22"/>
          <w:rtl/>
        </w:rPr>
        <w:t>:</w:t>
      </w:r>
      <w:r w:rsidRPr="00E14732">
        <w:rPr>
          <w:rFonts w:cs="David Transparent" w:hint="cs"/>
          <w:b/>
          <w:bCs/>
          <w:sz w:val="22"/>
          <w:szCs w:val="22"/>
          <w:rtl/>
        </w:rPr>
        <w:t>__</w:t>
      </w:r>
      <w:proofErr w:type="spellStart"/>
      <w:r w:rsidR="005220BB" w:rsidRPr="00E14732">
        <w:rPr>
          <w:rFonts w:cs="David Transparent"/>
          <w:b/>
          <w:bCs/>
          <w:sz w:val="22"/>
          <w:szCs w:val="22"/>
          <w:u w:val="single"/>
        </w:rPr>
        <w:t>sanofi-a</w:t>
      </w:r>
      <w:r w:rsidRPr="00E14732">
        <w:rPr>
          <w:rFonts w:cs="David Transparent"/>
          <w:b/>
          <w:bCs/>
          <w:sz w:val="22"/>
          <w:szCs w:val="22"/>
          <w:u w:val="single"/>
        </w:rPr>
        <w:t>ventis</w:t>
      </w:r>
      <w:proofErr w:type="spellEnd"/>
      <w:r w:rsidRPr="00E14732">
        <w:rPr>
          <w:rFonts w:cs="David Transparent"/>
          <w:b/>
          <w:bCs/>
          <w:sz w:val="22"/>
          <w:szCs w:val="22"/>
          <w:u w:val="single"/>
        </w:rPr>
        <w:t xml:space="preserve"> </w:t>
      </w:r>
      <w:r w:rsidR="00886057" w:rsidRPr="00E14732">
        <w:rPr>
          <w:rFonts w:cs="David Transparent"/>
          <w:b/>
          <w:bCs/>
          <w:sz w:val="22"/>
          <w:szCs w:val="22"/>
          <w:u w:val="single"/>
        </w:rPr>
        <w:t>Israel</w:t>
      </w:r>
      <w:r w:rsidRPr="00E14732">
        <w:rPr>
          <w:rFonts w:cs="David Transparent"/>
          <w:b/>
          <w:bCs/>
          <w:sz w:val="22"/>
          <w:szCs w:val="22"/>
          <w:u w:val="single"/>
        </w:rPr>
        <w:t xml:space="preserve"> Ltd</w:t>
      </w:r>
    </w:p>
    <w:p w:rsidR="002B2685" w:rsidRPr="00AE6DF8" w:rsidRDefault="002B2685" w:rsidP="002B2685">
      <w:pPr>
        <w:spacing w:line="360" w:lineRule="auto"/>
        <w:jc w:val="center"/>
        <w:rPr>
          <w:rFonts w:cs="David Transparent"/>
          <w:b/>
          <w:bCs/>
          <w:color w:val="FF0000"/>
          <w:u w:val="single"/>
          <w:rtl/>
        </w:rPr>
      </w:pPr>
      <w:r w:rsidRPr="00AE6DF8">
        <w:rPr>
          <w:rFonts w:cs="David Transparent" w:hint="cs"/>
          <w:b/>
          <w:bCs/>
          <w:color w:val="FF0000"/>
          <w:u w:val="single"/>
          <w:rtl/>
        </w:rPr>
        <w:t>טופס</w:t>
      </w:r>
      <w:r w:rsidR="00BC1B22" w:rsidRPr="00AE6DF8">
        <w:rPr>
          <w:rFonts w:cs="David Transparent" w:hint="cs"/>
          <w:b/>
          <w:bCs/>
          <w:color w:val="FF0000"/>
          <w:u w:val="single"/>
          <w:rtl/>
        </w:rPr>
        <w:t xml:space="preserve"> זה</w:t>
      </w:r>
      <w:r w:rsidRPr="00AE6DF8">
        <w:rPr>
          <w:rFonts w:cs="David Transparent" w:hint="cs"/>
          <w:b/>
          <w:bCs/>
          <w:color w:val="FF0000"/>
          <w:u w:val="single"/>
          <w:rtl/>
        </w:rPr>
        <w:t xml:space="preserve"> מיועד לפרוט </w:t>
      </w:r>
      <w:proofErr w:type="spellStart"/>
      <w:r w:rsidRPr="00AE6DF8">
        <w:rPr>
          <w:rFonts w:cs="David Transparent" w:hint="cs"/>
          <w:b/>
          <w:bCs/>
          <w:color w:val="FF0000"/>
          <w:u w:val="single"/>
          <w:rtl/>
        </w:rPr>
        <w:t>ההחמרות</w:t>
      </w:r>
      <w:proofErr w:type="spellEnd"/>
      <w:r w:rsidRPr="00AE6DF8">
        <w:rPr>
          <w:rFonts w:cs="David Transparent" w:hint="cs"/>
          <w:b/>
          <w:bCs/>
          <w:color w:val="FF0000"/>
          <w:u w:val="single"/>
          <w:rtl/>
        </w:rPr>
        <w:t xml:space="preserve"> בלבד !</w:t>
      </w:r>
    </w:p>
    <w:tbl>
      <w:tblPr>
        <w:bidiVisual/>
        <w:tblW w:w="846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19"/>
        <w:gridCol w:w="5405"/>
      </w:tblGrid>
      <w:tr w:rsidR="00F470C1">
        <w:trPr>
          <w:cantSplit/>
        </w:trPr>
        <w:tc>
          <w:tcPr>
            <w:tcW w:w="8467" w:type="dxa"/>
            <w:gridSpan w:val="3"/>
            <w:tcBorders>
              <w:bottom w:val="single" w:sz="24" w:space="0" w:color="auto"/>
              <w:right w:val="nil"/>
            </w:tcBorders>
            <w:shd w:val="pct12" w:color="auto" w:fill="FFFFFF"/>
          </w:tcPr>
          <w:p w:rsidR="00E013A4" w:rsidRDefault="00E013A4">
            <w:pPr>
              <w:jc w:val="center"/>
              <w:rPr>
                <w:rFonts w:cs="David Transparent"/>
                <w:b/>
                <w:bCs/>
                <w:rtl/>
              </w:rPr>
            </w:pPr>
          </w:p>
          <w:p w:rsidR="00E013A4" w:rsidRDefault="009F1E5A">
            <w:pPr>
              <w:jc w:val="center"/>
              <w:rPr>
                <w:rFonts w:cs="David Transparent"/>
                <w:b/>
                <w:bCs/>
                <w:rtl/>
              </w:rPr>
            </w:pPr>
            <w:proofErr w:type="spellStart"/>
            <w:r>
              <w:rPr>
                <w:rFonts w:cs="David Transparent" w:hint="cs"/>
                <w:b/>
                <w:bCs/>
                <w:rtl/>
              </w:rPr>
              <w:t>ההחמרות</w:t>
            </w:r>
            <w:proofErr w:type="spellEnd"/>
            <w:r>
              <w:rPr>
                <w:rFonts w:cs="David Transparent" w:hint="cs"/>
                <w:b/>
                <w:bCs/>
                <w:rtl/>
              </w:rPr>
              <w:t xml:space="preserve"> המבוקשות</w:t>
            </w:r>
          </w:p>
        </w:tc>
      </w:tr>
      <w:tr w:rsidR="00F470C1" w:rsidTr="003F2C35">
        <w:tc>
          <w:tcPr>
            <w:tcW w:w="1843" w:type="dxa"/>
            <w:tcBorders>
              <w:top w:val="nil"/>
            </w:tcBorders>
          </w:tcPr>
          <w:p w:rsidR="00F470C1" w:rsidRDefault="00F470C1">
            <w:pPr>
              <w:jc w:val="center"/>
              <w:rPr>
                <w:b/>
                <w:bCs/>
                <w:rtl/>
              </w:rPr>
            </w:pPr>
          </w:p>
          <w:p w:rsidR="00F470C1" w:rsidRDefault="00F470C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פרק בעלון</w:t>
            </w:r>
          </w:p>
          <w:p w:rsidR="00F470C1" w:rsidRDefault="00F470C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F470C1" w:rsidRDefault="00F470C1">
            <w:pPr>
              <w:jc w:val="center"/>
              <w:rPr>
                <w:b/>
                <w:bCs/>
                <w:rtl/>
              </w:rPr>
            </w:pPr>
          </w:p>
          <w:p w:rsidR="00F470C1" w:rsidRDefault="00F470C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נוכחי</w:t>
            </w:r>
          </w:p>
        </w:tc>
        <w:tc>
          <w:tcPr>
            <w:tcW w:w="5405" w:type="dxa"/>
            <w:tcBorders>
              <w:top w:val="nil"/>
              <w:right w:val="nil"/>
            </w:tcBorders>
          </w:tcPr>
          <w:p w:rsidR="00F470C1" w:rsidRDefault="00F470C1">
            <w:pPr>
              <w:jc w:val="center"/>
              <w:rPr>
                <w:b/>
                <w:bCs/>
                <w:rtl/>
              </w:rPr>
            </w:pPr>
          </w:p>
          <w:p w:rsidR="00F470C1" w:rsidRDefault="00F470C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חדש</w:t>
            </w:r>
          </w:p>
        </w:tc>
      </w:tr>
      <w:tr w:rsidR="00F470C1" w:rsidTr="003F2C35">
        <w:trPr>
          <w:trHeight w:val="2253"/>
        </w:trPr>
        <w:tc>
          <w:tcPr>
            <w:tcW w:w="1843" w:type="dxa"/>
          </w:tcPr>
          <w:p w:rsidR="006252B7" w:rsidRDefault="006252B7">
            <w:pPr>
              <w:rPr>
                <w:rFonts w:ascii="Arial Narrow" w:hAnsi="Arial Narrow"/>
                <w:b/>
                <w:bCs/>
                <w:szCs w:val="28"/>
                <w:rtl/>
              </w:rPr>
            </w:pPr>
          </w:p>
          <w:p w:rsidR="008919AA" w:rsidRPr="001651C6" w:rsidRDefault="008919AA" w:rsidP="008919AA">
            <w:pPr>
              <w:spacing w:before="120" w:after="120"/>
              <w:ind w:right="-567"/>
              <w:jc w:val="both"/>
              <w:rPr>
                <w:rFonts w:cs="Arial"/>
                <w:sz w:val="28"/>
                <w:szCs w:val="28"/>
              </w:rPr>
            </w:pPr>
            <w:r w:rsidRPr="001651C6">
              <w:rPr>
                <w:rFonts w:cs="Times New Roman"/>
                <w:b/>
                <w:bCs/>
                <w:sz w:val="28"/>
                <w:szCs w:val="28"/>
                <w:rtl/>
              </w:rPr>
              <w:t>תופעות לוואי</w:t>
            </w:r>
          </w:p>
          <w:p w:rsidR="00F470C1" w:rsidRDefault="00F470C1">
            <w:pPr>
              <w:rPr>
                <w:szCs w:val="28"/>
                <w:rtl/>
              </w:rPr>
            </w:pPr>
          </w:p>
        </w:tc>
        <w:tc>
          <w:tcPr>
            <w:tcW w:w="1219" w:type="dxa"/>
          </w:tcPr>
          <w:p w:rsidR="00F470C1" w:rsidRPr="00D47DAE" w:rsidRDefault="00F470C1">
            <w:pPr>
              <w:rPr>
                <w:szCs w:val="28"/>
                <w:rtl/>
              </w:rPr>
            </w:pPr>
          </w:p>
        </w:tc>
        <w:tc>
          <w:tcPr>
            <w:tcW w:w="5405" w:type="dxa"/>
            <w:tcBorders>
              <w:right w:val="nil"/>
            </w:tcBorders>
          </w:tcPr>
          <w:p w:rsidR="001D61DB" w:rsidRPr="00E751BD" w:rsidRDefault="001D61DB" w:rsidP="00086105">
            <w:pPr>
              <w:ind w:left="-143" w:right="-142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cs="David Transparent" w:hint="cs"/>
                <w:szCs w:val="28"/>
                <w:rtl/>
              </w:rPr>
              <w:t xml:space="preserve">                                                        </w:t>
            </w:r>
          </w:p>
          <w:p w:rsidR="001D61DB" w:rsidRPr="001D61DB" w:rsidRDefault="001D61DB" w:rsidP="001D61DB">
            <w:pPr>
              <w:autoSpaceDE w:val="0"/>
              <w:autoSpaceDN w:val="0"/>
              <w:spacing w:before="120" w:after="120"/>
              <w:ind w:left="72"/>
              <w:rPr>
                <w:rFonts w:cs="Arial"/>
                <w:b/>
                <w:bCs/>
                <w:rtl/>
                <w:lang w:val="en-GB" w:eastAsia="de-DE"/>
              </w:rPr>
            </w:pPr>
            <w:r w:rsidRPr="001D61DB">
              <w:rPr>
                <w:rFonts w:cs="Arial"/>
                <w:b/>
                <w:bCs/>
                <w:rtl/>
                <w:lang w:val="en-GB" w:eastAsia="de-DE"/>
              </w:rPr>
              <w:t>טקסט שהוסף מסומן ב</w:t>
            </w:r>
            <w:r w:rsidRPr="001D61DB">
              <w:rPr>
                <w:rFonts w:cs="Arial"/>
                <w:b/>
                <w:bCs/>
                <w:highlight w:val="yellow"/>
                <w:rtl/>
                <w:lang w:val="en-GB" w:eastAsia="de-DE"/>
              </w:rPr>
              <w:t>צהוב</w:t>
            </w:r>
            <w:r w:rsidRPr="001D61DB">
              <w:rPr>
                <w:rFonts w:cs="Arial"/>
                <w:b/>
                <w:bCs/>
                <w:rtl/>
                <w:lang w:val="en-GB" w:eastAsia="de-DE"/>
              </w:rPr>
              <w:t xml:space="preserve"> , טקסט מחוק מסומן ב</w:t>
            </w:r>
            <w:r w:rsidRPr="001D61DB">
              <w:rPr>
                <w:rFonts w:cs="Arial"/>
                <w:b/>
                <w:bCs/>
                <w:color w:val="FF0000"/>
                <w:rtl/>
                <w:lang w:val="en-GB" w:eastAsia="de-DE"/>
              </w:rPr>
              <w:t>אדום</w:t>
            </w:r>
            <w:r w:rsidRPr="001D61DB">
              <w:rPr>
                <w:rFonts w:cs="Arial"/>
                <w:b/>
                <w:bCs/>
                <w:rtl/>
                <w:lang w:val="en-GB" w:eastAsia="de-DE"/>
              </w:rPr>
              <w:t xml:space="preserve"> עם קו חוצה, שינויי מיקום וניסוח מסומנים ב</w:t>
            </w:r>
            <w:r w:rsidRPr="001D61DB">
              <w:rPr>
                <w:rFonts w:cs="Arial"/>
                <w:b/>
                <w:bCs/>
                <w:highlight w:val="green"/>
                <w:rtl/>
                <w:lang w:val="en-GB" w:eastAsia="de-DE"/>
              </w:rPr>
              <w:t>ירוק</w:t>
            </w:r>
            <w:r w:rsidRPr="001D61DB">
              <w:rPr>
                <w:rFonts w:cs="Arial"/>
                <w:b/>
                <w:bCs/>
                <w:rtl/>
                <w:lang w:val="en-GB" w:eastAsia="de-DE"/>
              </w:rPr>
              <w:t xml:space="preserve">. </w:t>
            </w:r>
          </w:p>
          <w:p w:rsidR="001D61DB" w:rsidRPr="001D61DB" w:rsidRDefault="001D61DB" w:rsidP="001D61DB">
            <w:pPr>
              <w:autoSpaceDE w:val="0"/>
              <w:autoSpaceDN w:val="0"/>
              <w:spacing w:before="120" w:after="120"/>
              <w:ind w:left="72"/>
              <w:rPr>
                <w:rFonts w:ascii="Arial" w:eastAsia="MS Mincho" w:hAnsi="Arial" w:cs="Arial"/>
                <w:b/>
                <w:bCs/>
                <w:lang w:val="en-GB" w:eastAsia="de-DE"/>
              </w:rPr>
            </w:pPr>
            <w:r w:rsidRPr="001D61DB">
              <w:rPr>
                <w:rFonts w:cs="Arial"/>
                <w:b/>
                <w:bCs/>
                <w:rtl/>
                <w:lang w:val="en-GB" w:eastAsia="de-DE"/>
              </w:rPr>
              <w:t>(יש להדגיש כי  מוזכרים כאן רק תתי הסעיפים שבהם נעשו שינויים במידע בטיחות, מידע מלא ניתן למצוא בעלון המלא):</w:t>
            </w:r>
          </w:p>
          <w:p w:rsidR="00406AAE" w:rsidRPr="008E23E4" w:rsidRDefault="002C2628" w:rsidP="00D26DDC">
            <w:pPr>
              <w:spacing w:before="120" w:after="120"/>
              <w:ind w:right="-567"/>
              <w:rPr>
                <w:rFonts w:ascii="Arial" w:hAnsi="Arial" w:cs="Arial"/>
                <w:b/>
                <w:bCs/>
                <w:rtl/>
              </w:rPr>
            </w:pPr>
            <w:r w:rsidRPr="008E23E4">
              <w:rPr>
                <w:rFonts w:ascii="Arial" w:hAnsi="Arial" w:cs="Arial" w:hint="cs"/>
                <w:b/>
                <w:bCs/>
                <w:rtl/>
              </w:rPr>
              <w:t>..</w:t>
            </w:r>
            <w:r w:rsidR="008E23E4" w:rsidRPr="008E23E4">
              <w:rPr>
                <w:rFonts w:ascii="Arial" w:hAnsi="Arial" w:cs="Arial" w:hint="cs"/>
                <w:b/>
                <w:bCs/>
                <w:rtl/>
              </w:rPr>
              <w:t>.........</w:t>
            </w:r>
            <w:r w:rsidRPr="008E23E4">
              <w:rPr>
                <w:rFonts w:ascii="Arial" w:hAnsi="Arial" w:cs="Arial" w:hint="cs"/>
                <w:b/>
                <w:bCs/>
                <w:rtl/>
              </w:rPr>
              <w:t>........</w:t>
            </w:r>
          </w:p>
          <w:p w:rsidR="008E23E4" w:rsidRPr="008E23E4" w:rsidRDefault="008E23E4" w:rsidP="00271C9A">
            <w:pPr>
              <w:spacing w:before="120" w:after="120"/>
              <w:ind w:right="-567"/>
              <w:rPr>
                <w:rFonts w:ascii="Arial" w:eastAsia="MS Mincho" w:hAnsi="Arial" w:cs="Arial"/>
                <w:strike/>
                <w:color w:val="FF0000"/>
                <w:sz w:val="18"/>
                <w:szCs w:val="18"/>
                <w:rtl/>
              </w:rPr>
            </w:pPr>
            <w:r w:rsidRPr="008E23E4">
              <w:rPr>
                <w:rFonts w:ascii="Arial" w:eastAsia="MS Mincho" w:hAnsi="Arial" w:cs="Arial"/>
                <w:i/>
                <w:iCs/>
                <w:sz w:val="18"/>
                <w:szCs w:val="18"/>
                <w:rtl/>
              </w:rPr>
              <w:t>נדיר</w:t>
            </w:r>
            <w:r w:rsidRPr="008E23E4">
              <w:rPr>
                <w:rFonts w:ascii="Arial" w:eastAsia="MS Mincho" w:hAnsi="Arial" w:cs="Arial" w:hint="cs"/>
                <w:i/>
                <w:iCs/>
                <w:sz w:val="18"/>
                <w:szCs w:val="18"/>
                <w:rtl/>
              </w:rPr>
              <w:t xml:space="preserve"> (מתרחש</w:t>
            </w:r>
            <w:r w:rsidRPr="008E23E4">
              <w:rPr>
                <w:rFonts w:ascii="Arial" w:eastAsia="MS Mincho" w:hAnsi="Arial" w:cs="Arial"/>
                <w:i/>
                <w:iCs/>
                <w:sz w:val="18"/>
                <w:szCs w:val="18"/>
                <w:rtl/>
              </w:rPr>
              <w:t xml:space="preserve"> </w:t>
            </w:r>
            <w:r w:rsidRPr="008E23E4">
              <w:rPr>
                <w:rFonts w:ascii="Arial" w:eastAsia="MS Mincho" w:hAnsi="Arial" w:cs="Arial" w:hint="cs"/>
                <w:i/>
                <w:iCs/>
                <w:sz w:val="18"/>
                <w:szCs w:val="18"/>
                <w:rtl/>
              </w:rPr>
              <w:t>בפחות</w:t>
            </w:r>
            <w:r w:rsidRPr="008E23E4">
              <w:rPr>
                <w:rFonts w:ascii="Arial" w:eastAsia="MS Mincho" w:hAnsi="Arial" w:cs="Arial"/>
                <w:i/>
                <w:iCs/>
                <w:sz w:val="18"/>
                <w:szCs w:val="18"/>
                <w:rtl/>
              </w:rPr>
              <w:t xml:space="preserve"> </w:t>
            </w:r>
            <w:r w:rsidRPr="008E23E4">
              <w:rPr>
                <w:rFonts w:ascii="Arial" w:eastAsia="MS Mincho" w:hAnsi="Arial" w:cs="Arial" w:hint="cs"/>
                <w:i/>
                <w:iCs/>
                <w:sz w:val="18"/>
                <w:szCs w:val="18"/>
                <w:rtl/>
              </w:rPr>
              <w:t>מ</w:t>
            </w:r>
            <w:r w:rsidRPr="008E23E4">
              <w:rPr>
                <w:rFonts w:ascii="Arial" w:eastAsia="MS Mincho" w:hAnsi="Arial" w:cs="Arial"/>
                <w:i/>
                <w:iCs/>
                <w:sz w:val="18"/>
                <w:szCs w:val="18"/>
                <w:rtl/>
              </w:rPr>
              <w:t xml:space="preserve"> </w:t>
            </w:r>
            <w:r w:rsidRPr="008E23E4">
              <w:rPr>
                <w:rFonts w:ascii="Arial" w:eastAsia="MS Mincho" w:hAnsi="Arial" w:cs="Arial" w:hint="cs"/>
                <w:i/>
                <w:iCs/>
                <w:sz w:val="18"/>
                <w:szCs w:val="18"/>
                <w:rtl/>
              </w:rPr>
              <w:t>-</w:t>
            </w:r>
            <w:r w:rsidRPr="008E23E4">
              <w:rPr>
                <w:rFonts w:ascii="Arial" w:eastAsia="MS Mincho" w:hAnsi="Arial" w:cs="Arial"/>
                <w:i/>
                <w:iCs/>
                <w:sz w:val="18"/>
                <w:szCs w:val="18"/>
                <w:rtl/>
              </w:rPr>
              <w:t xml:space="preserve">1 </w:t>
            </w:r>
            <w:r w:rsidRPr="008E23E4">
              <w:rPr>
                <w:rFonts w:ascii="Arial" w:eastAsia="MS Mincho" w:hAnsi="Arial" w:cs="Arial" w:hint="cs"/>
                <w:i/>
                <w:iCs/>
                <w:sz w:val="18"/>
                <w:szCs w:val="18"/>
                <w:rtl/>
              </w:rPr>
              <w:t>מתוך</w:t>
            </w:r>
            <w:r w:rsidRPr="008E23E4">
              <w:rPr>
                <w:rFonts w:ascii="Arial" w:eastAsia="MS Mincho" w:hAnsi="Arial" w:cs="Arial"/>
                <w:i/>
                <w:iCs/>
                <w:sz w:val="18"/>
                <w:szCs w:val="18"/>
                <w:rtl/>
              </w:rPr>
              <w:t xml:space="preserve"> 10</w:t>
            </w:r>
            <w:r w:rsidRPr="008E23E4">
              <w:rPr>
                <w:rFonts w:ascii="Arial" w:eastAsia="MS Mincho" w:hAnsi="Arial" w:cs="Arial" w:hint="cs"/>
                <w:i/>
                <w:iCs/>
                <w:sz w:val="18"/>
                <w:szCs w:val="18"/>
                <w:rtl/>
              </w:rPr>
              <w:t>0</w:t>
            </w:r>
            <w:r w:rsidRPr="008E23E4">
              <w:rPr>
                <w:rFonts w:ascii="Arial" w:eastAsia="MS Mincho" w:hAnsi="Arial" w:cs="Arial"/>
                <w:i/>
                <w:iCs/>
                <w:sz w:val="18"/>
                <w:szCs w:val="18"/>
                <w:rtl/>
              </w:rPr>
              <w:t xml:space="preserve">0 </w:t>
            </w:r>
            <w:r w:rsidRPr="008E23E4">
              <w:rPr>
                <w:rFonts w:ascii="Arial" w:eastAsia="MS Mincho" w:hAnsi="Arial" w:cs="Arial" w:hint="cs"/>
                <w:i/>
                <w:iCs/>
                <w:sz w:val="18"/>
                <w:szCs w:val="18"/>
                <w:rtl/>
              </w:rPr>
              <w:t xml:space="preserve">אנשים): </w:t>
            </w:r>
            <w:r w:rsidRPr="008E23E4">
              <w:rPr>
                <w:rFonts w:ascii="Arial" w:eastAsia="MS Mincho" w:hAnsi="Arial" w:cs="Arial"/>
                <w:i/>
                <w:iCs/>
                <w:sz w:val="18"/>
                <w:szCs w:val="18"/>
                <w:rtl/>
              </w:rPr>
              <w:br/>
            </w:r>
            <w:r w:rsidRPr="008E23E4">
              <w:rPr>
                <w:rFonts w:ascii="Arial" w:eastAsia="MS Mincho" w:hAnsi="Arial" w:cs="Arial" w:hint="cs"/>
                <w:sz w:val="18"/>
                <w:szCs w:val="18"/>
                <w:rtl/>
              </w:rPr>
              <w:t xml:space="preserve">תגובה  אלרגית : הסימנים יכולים לכלול: פריחה בעור, בעיות בנשימה או </w:t>
            </w:r>
            <w:r w:rsidR="00271C9A">
              <w:rPr>
                <w:rFonts w:ascii="Arial" w:eastAsia="MS Mincho" w:hAnsi="Arial" w:cs="Arial" w:hint="cs"/>
                <w:sz w:val="18"/>
                <w:szCs w:val="18"/>
                <w:rtl/>
              </w:rPr>
              <w:t xml:space="preserve">     </w:t>
            </w:r>
            <w:r w:rsidRPr="008E23E4">
              <w:rPr>
                <w:rFonts w:ascii="Arial" w:eastAsia="MS Mincho" w:hAnsi="Arial" w:cs="Arial" w:hint="cs"/>
                <w:sz w:val="18"/>
                <w:szCs w:val="18"/>
                <w:rtl/>
              </w:rPr>
              <w:t>בבליעה, נפיחות בשפתיים, בפני</w:t>
            </w:r>
            <w:r w:rsidRPr="008E23E4">
              <w:rPr>
                <w:rFonts w:ascii="Arial" w:eastAsia="MS Mincho" w:hAnsi="Arial" w:cs="Arial"/>
                <w:sz w:val="18"/>
                <w:szCs w:val="18"/>
                <w:rtl/>
              </w:rPr>
              <w:t>ם</w:t>
            </w:r>
            <w:r w:rsidRPr="008E23E4">
              <w:rPr>
                <w:rFonts w:ascii="Arial" w:eastAsia="MS Mincho" w:hAnsi="Arial" w:cs="Arial" w:hint="cs"/>
                <w:sz w:val="18"/>
                <w:szCs w:val="18"/>
                <w:rtl/>
              </w:rPr>
              <w:t>, בגרון או בלשון</w:t>
            </w:r>
            <w:r w:rsidRPr="00EE0D19">
              <w:rPr>
                <w:rFonts w:ascii="Arial" w:eastAsia="MS Mincho" w:hAnsi="Arial" w:cs="Arial" w:hint="cs"/>
                <w:strike/>
                <w:sz w:val="18"/>
                <w:szCs w:val="18"/>
                <w:highlight w:val="green"/>
                <w:rtl/>
              </w:rPr>
              <w:t xml:space="preserve">. </w:t>
            </w:r>
            <w:proofErr w:type="spellStart"/>
            <w:r w:rsidRPr="00EE0D19">
              <w:rPr>
                <w:rFonts w:ascii="Arial" w:eastAsia="MS Mincho" w:hAnsi="Arial" w:cs="Arial" w:hint="cs"/>
                <w:b/>
                <w:bCs/>
                <w:strike/>
                <w:sz w:val="18"/>
                <w:szCs w:val="18"/>
                <w:highlight w:val="green"/>
                <w:rtl/>
              </w:rPr>
              <w:t>המטומות</w:t>
            </w:r>
            <w:proofErr w:type="spellEnd"/>
            <w:r w:rsidRPr="00EE0D19">
              <w:rPr>
                <w:rFonts w:ascii="Arial" w:eastAsia="MS Mincho" w:hAnsi="Arial" w:cs="Arial" w:hint="cs"/>
                <w:b/>
                <w:bCs/>
                <w:strike/>
                <w:sz w:val="18"/>
                <w:szCs w:val="18"/>
                <w:highlight w:val="green"/>
                <w:rtl/>
              </w:rPr>
              <w:t xml:space="preserve"> בחוט השדרה</w:t>
            </w:r>
            <w:r w:rsidR="00271C9A" w:rsidRPr="00EE0D19">
              <w:rPr>
                <w:rFonts w:ascii="Arial" w:eastAsia="MS Mincho" w:hAnsi="Arial" w:cs="Arial" w:hint="cs"/>
                <w:b/>
                <w:bCs/>
                <w:strike/>
                <w:sz w:val="18"/>
                <w:szCs w:val="18"/>
                <w:highlight w:val="green"/>
                <w:rtl/>
              </w:rPr>
              <w:t xml:space="preserve">        </w:t>
            </w:r>
            <w:r w:rsidRPr="00EE0D19">
              <w:rPr>
                <w:rFonts w:ascii="Arial" w:eastAsia="MS Mincho" w:hAnsi="Arial" w:cs="Arial" w:hint="cs"/>
                <w:b/>
                <w:bCs/>
                <w:strike/>
                <w:sz w:val="18"/>
                <w:szCs w:val="18"/>
                <w:highlight w:val="green"/>
                <w:rtl/>
              </w:rPr>
              <w:t xml:space="preserve"> או לידו שיכולות להתבטא ב</w:t>
            </w:r>
            <w:r w:rsidRPr="008E23E4">
              <w:rPr>
                <w:rFonts w:ascii="Arial" w:eastAsia="MS Mincho" w:hAnsi="Arial" w:cs="Arial" w:hint="cs"/>
                <w:sz w:val="18"/>
                <w:szCs w:val="18"/>
                <w:rtl/>
              </w:rPr>
              <w:t xml:space="preserve">תחושת עקצוץ, נימול וחולשת שרירים, במיוחד </w:t>
            </w:r>
            <w:r w:rsidR="00271C9A">
              <w:rPr>
                <w:rFonts w:ascii="Arial" w:eastAsia="MS Mincho" w:hAnsi="Arial" w:cs="Arial" w:hint="cs"/>
                <w:sz w:val="18"/>
                <w:szCs w:val="18"/>
                <w:rtl/>
              </w:rPr>
              <w:t xml:space="preserve">      </w:t>
            </w:r>
            <w:r w:rsidRPr="008E23E4">
              <w:rPr>
                <w:rFonts w:ascii="Arial" w:eastAsia="MS Mincho" w:hAnsi="Arial" w:cs="Arial" w:hint="cs"/>
                <w:sz w:val="18"/>
                <w:szCs w:val="18"/>
                <w:rtl/>
              </w:rPr>
              <w:t>בפלג</w:t>
            </w:r>
            <w:r w:rsidRPr="008E23E4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Pr="008E23E4">
              <w:rPr>
                <w:rFonts w:ascii="Arial" w:eastAsia="MS Mincho" w:hAnsi="Arial" w:cs="Arial" w:hint="cs"/>
                <w:sz w:val="18"/>
                <w:szCs w:val="18"/>
                <w:rtl/>
              </w:rPr>
              <w:t xml:space="preserve"> גופך התחתון, </w:t>
            </w:r>
            <w:r w:rsidRPr="008E23E4">
              <w:rPr>
                <w:rFonts w:ascii="Arial" w:eastAsia="MS Mincho" w:hAnsi="Arial" w:cs="Arial" w:hint="cs"/>
                <w:strike/>
                <w:color w:val="FF0000"/>
                <w:sz w:val="18"/>
                <w:szCs w:val="18"/>
                <w:rtl/>
              </w:rPr>
              <w:t xml:space="preserve">או </w:t>
            </w:r>
            <w:r w:rsidRPr="008E23E4">
              <w:rPr>
                <w:rFonts w:ascii="Arial" w:eastAsia="MS Mincho" w:hAnsi="Arial" w:cs="Arial" w:hint="cs"/>
                <w:sz w:val="18"/>
                <w:szCs w:val="18"/>
                <w:rtl/>
              </w:rPr>
              <w:t>איבוד שליטה על הסוגרים (אינך מסוגל לשלוט על</w:t>
            </w:r>
            <w:r w:rsidR="00271C9A">
              <w:rPr>
                <w:rFonts w:ascii="Arial" w:eastAsia="MS Mincho" w:hAnsi="Arial" w:cs="Arial" w:hint="cs"/>
                <w:sz w:val="18"/>
                <w:szCs w:val="18"/>
                <w:rtl/>
              </w:rPr>
              <w:t xml:space="preserve">       </w:t>
            </w:r>
            <w:r w:rsidRPr="008E23E4">
              <w:rPr>
                <w:rFonts w:ascii="Arial" w:eastAsia="MS Mincho" w:hAnsi="Arial" w:cs="Arial" w:hint="cs"/>
                <w:sz w:val="18"/>
                <w:szCs w:val="18"/>
                <w:rtl/>
              </w:rPr>
              <w:t xml:space="preserve"> עשיית הצרכים) </w:t>
            </w:r>
            <w:r w:rsidRPr="00EE0D19">
              <w:rPr>
                <w:rFonts w:ascii="Arial" w:eastAsia="MS Mincho" w:hAnsi="Arial" w:cs="Arial" w:hint="cs"/>
                <w:b/>
                <w:bCs/>
                <w:strike/>
                <w:sz w:val="18"/>
                <w:szCs w:val="18"/>
                <w:highlight w:val="green"/>
                <w:rtl/>
              </w:rPr>
              <w:t>או שיתוק</w:t>
            </w:r>
            <w:r w:rsidRPr="008E23E4">
              <w:rPr>
                <w:rFonts w:ascii="Arial" w:eastAsia="MS Mincho" w:hAnsi="Arial" w:cs="Arial" w:hint="cs"/>
                <w:sz w:val="18"/>
                <w:szCs w:val="18"/>
                <w:rtl/>
              </w:rPr>
              <w:t xml:space="preserve"> לאחר שעברת ניקור </w:t>
            </w:r>
            <w:r w:rsidRPr="008E23E4">
              <w:rPr>
                <w:rFonts w:ascii="Arial" w:eastAsia="MS Mincho" w:hAnsi="Arial" w:cs="Arial" w:hint="cs"/>
                <w:sz w:val="18"/>
                <w:szCs w:val="18"/>
                <w:highlight w:val="green"/>
                <w:rtl/>
              </w:rPr>
              <w:t>או הרדמה</w:t>
            </w:r>
            <w:r w:rsidRPr="008E23E4">
              <w:rPr>
                <w:rFonts w:ascii="Arial" w:eastAsia="MS Mincho" w:hAnsi="Arial" w:cs="Arial" w:hint="cs"/>
                <w:sz w:val="18"/>
                <w:szCs w:val="18"/>
                <w:rtl/>
              </w:rPr>
              <w:t xml:space="preserve"> בעמוד השדרה</w:t>
            </w:r>
            <w:r w:rsidR="00271C9A">
              <w:rPr>
                <w:rFonts w:ascii="Arial" w:eastAsia="MS Mincho" w:hAnsi="Arial" w:cs="Arial" w:hint="cs"/>
                <w:sz w:val="18"/>
                <w:szCs w:val="18"/>
                <w:rtl/>
              </w:rPr>
              <w:t xml:space="preserve">.     </w:t>
            </w:r>
            <w:r w:rsidRPr="008E23E4">
              <w:rPr>
                <w:rFonts w:ascii="Arial" w:eastAsia="MS Mincho" w:hAnsi="Arial" w:cs="Arial" w:hint="cs"/>
                <w:strike/>
                <w:color w:val="FF0000"/>
                <w:sz w:val="18"/>
                <w:szCs w:val="18"/>
                <w:rtl/>
              </w:rPr>
              <w:t xml:space="preserve">או הרדמה בעמוד השדרה.   </w:t>
            </w:r>
          </w:p>
          <w:p w:rsidR="00406AAE" w:rsidRPr="008E23E4" w:rsidRDefault="008E23E4" w:rsidP="00D26DDC">
            <w:pPr>
              <w:spacing w:before="120" w:after="120"/>
              <w:ind w:right="-567"/>
              <w:rPr>
                <w:rFonts w:ascii="Arial" w:hAnsi="Arial" w:cs="Arial"/>
                <w:b/>
                <w:bCs/>
                <w:rtl/>
              </w:rPr>
            </w:pPr>
            <w:r w:rsidRPr="008E23E4">
              <w:rPr>
                <w:rFonts w:ascii="Arial" w:hAnsi="Arial" w:cs="Arial" w:hint="cs"/>
                <w:b/>
                <w:bCs/>
                <w:rtl/>
              </w:rPr>
              <w:t>................</w:t>
            </w:r>
          </w:p>
          <w:p w:rsidR="004963A2" w:rsidRDefault="008919AA" w:rsidP="00D26DDC">
            <w:pPr>
              <w:spacing w:before="120" w:after="120"/>
              <w:ind w:right="-567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 w:rsidRPr="00406AAE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שכיחות לא ידועה:</w:t>
            </w:r>
          </w:p>
          <w:p w:rsidR="00EE0D19" w:rsidRPr="00097E63" w:rsidRDefault="00EE0D19" w:rsidP="00EE0D19">
            <w:pPr>
              <w:spacing w:before="120" w:after="120"/>
              <w:ind w:right="-567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097E63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תגובה של רגישות יתר (כולל שוק אנפילקטי)</w:t>
            </w:r>
          </w:p>
          <w:p w:rsidR="00EE0D19" w:rsidRPr="00097E63" w:rsidRDefault="00EE0D19" w:rsidP="00EE0D19">
            <w:pPr>
              <w:spacing w:before="120" w:after="120"/>
              <w:ind w:right="-567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097E63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כאב ראש </w:t>
            </w:r>
          </w:p>
          <w:p w:rsidR="00EE0D19" w:rsidRDefault="00EE0D19" w:rsidP="00EE0D19">
            <w:pPr>
              <w:spacing w:before="120" w:after="120"/>
              <w:ind w:right="-567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proofErr w:type="spellStart"/>
            <w:r w:rsidRPr="00D52BF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המטומות</w:t>
            </w:r>
            <w:proofErr w:type="spellEnd"/>
            <w:r w:rsidRPr="00D52BF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בחוט השדרה או בסמוך לו דווחו במקרים של שימוש </w:t>
            </w:r>
            <w:proofErr w:type="spellStart"/>
            <w:r w:rsidRPr="00D52BF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בקלקסן</w:t>
            </w:r>
            <w:proofErr w:type="spellEnd"/>
            <w:r w:rsidRPr="00D52BF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במקביל לאלחוש אפי</w:t>
            </w:r>
            <w:bookmarkStart w:id="0" w:name="_GoBack"/>
            <w:bookmarkEnd w:id="0"/>
            <w:r w:rsidRPr="00D52BF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דורלי או בחוט השדרה או בניקור מותני. תגובות אלה מתבטאות בדרגות שונות של פגיעה נוירולוגית כולל שיתוק לטווח ארוך או קבוע. </w:t>
            </w:r>
          </w:p>
          <w:p w:rsidR="00EE0D19" w:rsidRPr="00D52BF5" w:rsidRDefault="00EE0D19" w:rsidP="00EE0D19">
            <w:pPr>
              <w:spacing w:before="120" w:after="120"/>
              <w:ind w:right="-567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דלקת עורית או נמק של העור, בדרך כלל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באיזור</w:t>
            </w:r>
            <w:proofErr w:type="spellEnd"/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ההזרקה. במקרה זה יש לפנות מיד אל הרופא ולהפסיק את הטיפול. </w:t>
            </w:r>
          </w:p>
          <w:p w:rsidR="00EE0D19" w:rsidRDefault="00EE0D19" w:rsidP="00EE0D19">
            <w:pPr>
              <w:spacing w:before="120" w:after="120"/>
              <w:ind w:right="-567"/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rtl/>
              </w:rPr>
            </w:pPr>
            <w:r w:rsidRPr="00311441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פגיעה בכבד</w:t>
            </w:r>
            <w:r w:rsidRPr="00311441">
              <w:rPr>
                <w:rFonts w:ascii="Arial" w:hAnsi="Arial" w:cs="Arial" w:hint="cs"/>
                <w:i/>
                <w:iCs/>
                <w:sz w:val="18"/>
                <w:szCs w:val="18"/>
                <w:highlight w:val="green"/>
                <w:rtl/>
              </w:rPr>
              <w:t xml:space="preserve"> ודרכי המרה</w:t>
            </w:r>
          </w:p>
          <w:p w:rsidR="00EE0D19" w:rsidRPr="00097E63" w:rsidRDefault="00EE0D19" w:rsidP="00EE0D19">
            <w:pPr>
              <w:spacing w:before="120" w:after="120"/>
              <w:ind w:right="-567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312C3D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 </w:t>
            </w:r>
            <w:r w:rsidRPr="00097E63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התקרחות</w:t>
            </w:r>
          </w:p>
          <w:p w:rsidR="00EE0D19" w:rsidRPr="00406AAE" w:rsidRDefault="00EE0D19" w:rsidP="00EE0D19">
            <w:pPr>
              <w:spacing w:before="120" w:after="120"/>
              <w:ind w:right="-567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 w:rsidRPr="00097E63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אנמיה, </w:t>
            </w:r>
            <w:proofErr w:type="spellStart"/>
            <w:r w:rsidRPr="00097E63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אאוזינופיליה</w:t>
            </w:r>
            <w:proofErr w:type="spellEnd"/>
            <w:r w:rsidRPr="00097E63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.( עליה בסוג </w:t>
            </w:r>
            <w:proofErr w:type="spellStart"/>
            <w:r w:rsidRPr="00097E63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מסויים</w:t>
            </w:r>
            <w:proofErr w:type="spellEnd"/>
            <w:r w:rsidRPr="00097E63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של תאי דם לבנים</w:t>
            </w:r>
            <w:r w:rsidRPr="00097E63">
              <w:rPr>
                <w:rFonts w:ascii="Arial" w:hAnsi="Arial" w:cs="Arial" w:hint="cs"/>
                <w:b/>
                <w:bCs/>
                <w:sz w:val="18"/>
                <w:szCs w:val="18"/>
                <w:highlight w:val="green"/>
                <w:rtl/>
              </w:rPr>
              <w:t xml:space="preserve">), היווצרות </w:t>
            </w:r>
            <w:r w:rsidRPr="00725B7C">
              <w:rPr>
                <w:rFonts w:ascii="Arial" w:hAnsi="Arial" w:cs="Arial" w:hint="cs"/>
                <w:b/>
                <w:bCs/>
                <w:sz w:val="18"/>
                <w:szCs w:val="18"/>
                <w:highlight w:val="darkCyan"/>
                <w:rtl/>
              </w:rPr>
              <w:t>קרישי דם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darkCyan"/>
                <w:rtl/>
              </w:rPr>
              <w:t xml:space="preserve"> (</w:t>
            </w:r>
            <w:r w:rsidRPr="00303234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thrombosis</w:t>
            </w:r>
            <w:r w:rsidRPr="00303234">
              <w:rPr>
                <w:rFonts w:ascii="Arial" w:hAnsi="Arial" w:cs="Arial" w:hint="cs"/>
                <w:b/>
                <w:bCs/>
                <w:sz w:val="18"/>
                <w:szCs w:val="18"/>
                <w:highlight w:val="green"/>
                <w:rtl/>
              </w:rPr>
              <w:t>)</w:t>
            </w:r>
            <w:r w:rsidRPr="00725B7C">
              <w:rPr>
                <w:rFonts w:ascii="Arial" w:hAnsi="Arial" w:cs="Arial" w:hint="cs"/>
                <w:b/>
                <w:bCs/>
                <w:sz w:val="18"/>
                <w:szCs w:val="18"/>
                <w:highlight w:val="darkCyan"/>
                <w:rtl/>
              </w:rPr>
              <w:t>, תגובות עוריות ותת עורית</w:t>
            </w:r>
          </w:p>
          <w:p w:rsidR="00840BEE" w:rsidRPr="00EE0D19" w:rsidRDefault="0056507F" w:rsidP="0056507F">
            <w:pPr>
              <w:spacing w:before="120" w:after="120"/>
              <w:ind w:right="-567"/>
              <w:rPr>
                <w:rFonts w:ascii="Arial" w:hAnsi="Arial" w:cs="Arial"/>
                <w:strike/>
                <w:sz w:val="18"/>
                <w:szCs w:val="18"/>
                <w:rtl/>
              </w:rPr>
            </w:pPr>
            <w:r w:rsidRPr="00EE0D19">
              <w:rPr>
                <w:rFonts w:ascii="Arial" w:hAnsi="Arial" w:cs="Arial" w:hint="cs"/>
                <w:strike/>
                <w:sz w:val="18"/>
                <w:szCs w:val="18"/>
                <w:highlight w:val="green"/>
                <w:rtl/>
              </w:rPr>
              <w:t>תגובה של רגישות יתר (כולל שוק אנפילקטי), כאב ראש, פגיעה בכבד</w:t>
            </w:r>
            <w:r w:rsidRPr="00EE0D19">
              <w:rPr>
                <w:rFonts w:ascii="Arial" w:hAnsi="Arial" w:cs="Arial" w:hint="cs"/>
                <w:i/>
                <w:iCs/>
                <w:strike/>
                <w:sz w:val="18"/>
                <w:szCs w:val="18"/>
                <w:highlight w:val="green"/>
                <w:rtl/>
              </w:rPr>
              <w:t xml:space="preserve"> </w:t>
            </w:r>
            <w:r w:rsidRPr="00EE0D19">
              <w:rPr>
                <w:rFonts w:ascii="Arial" w:hAnsi="Arial" w:cs="Arial" w:hint="cs"/>
                <w:strike/>
                <w:sz w:val="18"/>
                <w:szCs w:val="18"/>
                <w:highlight w:val="green"/>
                <w:rtl/>
              </w:rPr>
              <w:t xml:space="preserve">,     התקרחות, אנמיה, </w:t>
            </w:r>
            <w:proofErr w:type="spellStart"/>
            <w:r w:rsidRPr="00EE0D19">
              <w:rPr>
                <w:rFonts w:ascii="Arial" w:hAnsi="Arial" w:cs="Arial" w:hint="cs"/>
                <w:strike/>
                <w:sz w:val="18"/>
                <w:szCs w:val="18"/>
                <w:highlight w:val="green"/>
                <w:rtl/>
              </w:rPr>
              <w:t>אאוזינופיליה</w:t>
            </w:r>
            <w:proofErr w:type="spellEnd"/>
            <w:r w:rsidRPr="00EE0D19">
              <w:rPr>
                <w:rFonts w:ascii="Arial" w:hAnsi="Arial" w:cs="Arial" w:hint="cs"/>
                <w:strike/>
                <w:sz w:val="18"/>
                <w:szCs w:val="18"/>
                <w:highlight w:val="green"/>
                <w:rtl/>
              </w:rPr>
              <w:t xml:space="preserve">.( עליה בסוג </w:t>
            </w:r>
            <w:proofErr w:type="spellStart"/>
            <w:r w:rsidRPr="00EE0D19">
              <w:rPr>
                <w:rFonts w:ascii="Arial" w:hAnsi="Arial" w:cs="Arial" w:hint="cs"/>
                <w:strike/>
                <w:sz w:val="18"/>
                <w:szCs w:val="18"/>
                <w:highlight w:val="green"/>
                <w:rtl/>
              </w:rPr>
              <w:t>מסויים</w:t>
            </w:r>
            <w:proofErr w:type="spellEnd"/>
            <w:r w:rsidRPr="00EE0D19">
              <w:rPr>
                <w:rFonts w:ascii="Arial" w:hAnsi="Arial" w:cs="Arial" w:hint="cs"/>
                <w:strike/>
                <w:sz w:val="18"/>
                <w:szCs w:val="18"/>
                <w:highlight w:val="green"/>
                <w:rtl/>
              </w:rPr>
              <w:t xml:space="preserve"> של תאי דם לבנים).</w:t>
            </w:r>
          </w:p>
          <w:p w:rsidR="008919AA" w:rsidRPr="003341BA" w:rsidRDefault="008919AA" w:rsidP="0056507F">
            <w:pPr>
              <w:spacing w:before="120" w:after="120"/>
              <w:ind w:right="-567"/>
              <w:rPr>
                <w:rFonts w:ascii="Arial" w:hAnsi="Arial" w:cs="Arial"/>
                <w:sz w:val="18"/>
                <w:szCs w:val="18"/>
                <w:rtl/>
              </w:rPr>
            </w:pPr>
            <w:r w:rsidRPr="003341BA">
              <w:rPr>
                <w:rFonts w:ascii="Arial" w:hAnsi="Arial" w:cs="Arial"/>
                <w:sz w:val="18"/>
                <w:szCs w:val="18"/>
                <w:rtl/>
              </w:rPr>
              <w:br/>
            </w:r>
            <w:r w:rsidRPr="006446C1">
              <w:rPr>
                <w:rFonts w:ascii="Arial" w:hAnsi="Arial" w:cs="Arial" w:hint="cs"/>
                <w:sz w:val="18"/>
                <w:szCs w:val="18"/>
                <w:rtl/>
              </w:rPr>
              <w:t xml:space="preserve">שימוש </w:t>
            </w:r>
            <w:proofErr w:type="spellStart"/>
            <w:r w:rsidRPr="006446C1">
              <w:rPr>
                <w:rFonts w:ascii="Arial" w:hAnsi="Arial" w:cs="Arial" w:hint="cs"/>
                <w:sz w:val="18"/>
                <w:szCs w:val="18"/>
                <w:rtl/>
              </w:rPr>
              <w:t>בקלקסן</w:t>
            </w:r>
            <w:proofErr w:type="spellEnd"/>
            <w:r w:rsidRPr="006446C1">
              <w:rPr>
                <w:rFonts w:ascii="Arial" w:hAnsi="Arial" w:cs="Arial" w:hint="cs"/>
                <w:sz w:val="18"/>
                <w:szCs w:val="18"/>
                <w:rtl/>
              </w:rPr>
              <w:t xml:space="preserve"> במשך תקופה ארוכה</w:t>
            </w:r>
            <w:r w:rsidR="0056507F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56507F" w:rsidRPr="001C60D9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(יותר משלושה חודשים</w:t>
            </w:r>
            <w:r w:rsidR="0056507F">
              <w:rPr>
                <w:rFonts w:ascii="Arial" w:hAnsi="Arial" w:cs="Arial" w:hint="cs"/>
                <w:sz w:val="18"/>
                <w:szCs w:val="18"/>
                <w:rtl/>
              </w:rPr>
              <w:t>)</w:t>
            </w:r>
            <w:r w:rsidR="0056507F" w:rsidRPr="001B7058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Pr="006446C1">
              <w:rPr>
                <w:rFonts w:ascii="Arial" w:hAnsi="Arial" w:cs="Arial" w:hint="cs"/>
                <w:sz w:val="18"/>
                <w:szCs w:val="18"/>
                <w:rtl/>
              </w:rPr>
              <w:t>עלול להגביר</w:t>
            </w:r>
            <w:r w:rsidR="0056507F">
              <w:rPr>
                <w:rFonts w:ascii="Arial" w:hAnsi="Arial" w:cs="Arial" w:hint="cs"/>
                <w:sz w:val="18"/>
                <w:szCs w:val="18"/>
                <w:rtl/>
              </w:rPr>
              <w:t xml:space="preserve">         </w:t>
            </w:r>
            <w:r w:rsidRPr="006446C1">
              <w:rPr>
                <w:rFonts w:ascii="Arial" w:hAnsi="Arial" w:cs="Arial" w:hint="cs"/>
                <w:sz w:val="18"/>
                <w:szCs w:val="18"/>
                <w:rtl/>
              </w:rPr>
              <w:t xml:space="preserve"> את הסיכון לאוסטאופורוזיס, מצב בו עולה הסיכון לשברים בעצמות.</w:t>
            </w:r>
          </w:p>
          <w:p w:rsidR="00F470C1" w:rsidRPr="000C3D4F" w:rsidRDefault="008919AA" w:rsidP="000C3D4F">
            <w:pPr>
              <w:spacing w:before="120" w:after="120"/>
              <w:ind w:right="-567"/>
              <w:rPr>
                <w:rFonts w:ascii="Arial" w:hAnsi="Arial" w:cs="Arial"/>
                <w:sz w:val="18"/>
                <w:szCs w:val="18"/>
                <w:rtl/>
              </w:rPr>
            </w:pPr>
            <w:r w:rsidRPr="003341BA">
              <w:rPr>
                <w:rFonts w:cs="Arial"/>
                <w:sz w:val="18"/>
                <w:szCs w:val="18"/>
                <w:rtl/>
              </w:rPr>
              <w:t xml:space="preserve">אם אחת מתופעות הלוואי מחמירה, או </w:t>
            </w:r>
            <w:r w:rsidRPr="003341BA">
              <w:rPr>
                <w:rFonts w:cs="Arial" w:hint="cs"/>
                <w:sz w:val="18"/>
                <w:szCs w:val="18"/>
                <w:rtl/>
              </w:rPr>
              <w:t xml:space="preserve">נמשכת יותר ממספר ימים או </w:t>
            </w:r>
            <w:r w:rsidRPr="003341BA">
              <w:rPr>
                <w:rFonts w:cs="Arial"/>
                <w:sz w:val="18"/>
                <w:szCs w:val="18"/>
                <w:rtl/>
              </w:rPr>
              <w:t>כאשר את</w:t>
            </w:r>
            <w:r w:rsidRPr="003341BA">
              <w:rPr>
                <w:rFonts w:cs="Arial" w:hint="cs"/>
                <w:sz w:val="18"/>
                <w:szCs w:val="18"/>
                <w:rtl/>
              </w:rPr>
              <w:t>ה</w:t>
            </w:r>
            <w:r w:rsidRPr="003341BA">
              <w:rPr>
                <w:rFonts w:cs="Arial"/>
                <w:sz w:val="18"/>
                <w:szCs w:val="18"/>
                <w:rtl/>
              </w:rPr>
              <w:t xml:space="preserve"> סובל מתופעת לוואי שלא הוזכרה בעלון, עליך להתייעץ עם הרופא.</w:t>
            </w:r>
            <w:r w:rsidRPr="003341BA">
              <w:rPr>
                <w:rFonts w:cs="Arial" w:hint="cs"/>
                <w:sz w:val="18"/>
                <w:szCs w:val="18"/>
                <w:rtl/>
              </w:rPr>
              <w:tab/>
            </w:r>
          </w:p>
        </w:tc>
      </w:tr>
    </w:tbl>
    <w:p w:rsidR="003742C3" w:rsidRDefault="003742C3" w:rsidP="004A476F">
      <w:pPr>
        <w:pStyle w:val="1"/>
        <w:ind w:right="-142"/>
        <w:jc w:val="left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742C3" w:rsidRDefault="003742C3" w:rsidP="004A476F">
      <w:pPr>
        <w:pStyle w:val="1"/>
        <w:ind w:right="-142"/>
        <w:jc w:val="left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742C3" w:rsidRDefault="003742C3" w:rsidP="004A476F">
      <w:pPr>
        <w:pStyle w:val="1"/>
        <w:ind w:right="-142"/>
        <w:jc w:val="left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742C3" w:rsidRDefault="003742C3" w:rsidP="004A476F">
      <w:pPr>
        <w:pStyle w:val="1"/>
        <w:ind w:right="-142"/>
        <w:jc w:val="left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742C3" w:rsidRDefault="003742C3" w:rsidP="004A476F">
      <w:pPr>
        <w:pStyle w:val="1"/>
        <w:ind w:right="-142"/>
        <w:jc w:val="left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742C3" w:rsidRDefault="003742C3" w:rsidP="004A476F">
      <w:pPr>
        <w:pStyle w:val="1"/>
        <w:ind w:right="-142"/>
        <w:jc w:val="left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742C3" w:rsidRDefault="003742C3" w:rsidP="004A476F">
      <w:pPr>
        <w:pStyle w:val="1"/>
        <w:ind w:right="-142"/>
        <w:jc w:val="left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742C3" w:rsidRDefault="003742C3" w:rsidP="004A476F">
      <w:pPr>
        <w:pStyle w:val="1"/>
        <w:ind w:right="-142"/>
        <w:jc w:val="left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326F0" w:rsidRPr="006268B7" w:rsidRDefault="007326F0" w:rsidP="004A476F">
      <w:pPr>
        <w:pStyle w:val="1"/>
        <w:ind w:right="-142"/>
        <w:jc w:val="left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268B7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הודעה על </w:t>
      </w:r>
      <w:r w:rsidRPr="006268B7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החמרה  (</w:t>
      </w:r>
      <w:r w:rsidRPr="006268B7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מידע </w:t>
      </w:r>
      <w:r w:rsidRPr="006268B7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בטיחות)  בעלון ל</w:t>
      </w:r>
      <w:r w:rsidRPr="006268B7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רופא</w:t>
      </w:r>
      <w:r w:rsidRPr="006268B7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7326F0" w:rsidRDefault="007326F0" w:rsidP="004A476F">
      <w:pPr>
        <w:rPr>
          <w:b/>
          <w:bCs/>
          <w:rtl/>
        </w:rPr>
      </w:pPr>
    </w:p>
    <w:p w:rsidR="006A3BCA" w:rsidRDefault="006A3BCA" w:rsidP="00B059FD">
      <w:pPr>
        <w:spacing w:line="360" w:lineRule="auto"/>
        <w:rPr>
          <w:rFonts w:cs="David Transparent"/>
          <w:b/>
          <w:bCs/>
          <w:szCs w:val="28"/>
          <w:rtl/>
        </w:rPr>
      </w:pPr>
      <w:r>
        <w:rPr>
          <w:rFonts w:cs="David Transparent" w:hint="cs"/>
          <w:b/>
          <w:bCs/>
          <w:szCs w:val="28"/>
          <w:rtl/>
        </w:rPr>
        <w:t>תאריך __</w:t>
      </w:r>
      <w:r w:rsidR="00C96403" w:rsidRPr="00CD787C">
        <w:rPr>
          <w:rFonts w:cs="David Transparent" w:hint="cs"/>
          <w:b/>
          <w:bCs/>
          <w:szCs w:val="28"/>
          <w:u w:val="single"/>
          <w:rtl/>
        </w:rPr>
        <w:t>0</w:t>
      </w:r>
      <w:r w:rsidR="00B059FD" w:rsidRPr="00CD787C">
        <w:rPr>
          <w:rFonts w:cs="David Transparent" w:hint="cs"/>
          <w:b/>
          <w:bCs/>
          <w:szCs w:val="28"/>
          <w:u w:val="single"/>
          <w:rtl/>
        </w:rPr>
        <w:t>8</w:t>
      </w:r>
      <w:r w:rsidRPr="00CD787C">
        <w:rPr>
          <w:rFonts w:cs="David Transparent" w:hint="cs"/>
          <w:b/>
          <w:bCs/>
          <w:szCs w:val="28"/>
          <w:u w:val="single"/>
          <w:rtl/>
        </w:rPr>
        <w:t>.201</w:t>
      </w:r>
      <w:r w:rsidR="00C96403" w:rsidRPr="00CD787C">
        <w:rPr>
          <w:rFonts w:cs="David Transparent" w:hint="cs"/>
          <w:b/>
          <w:bCs/>
          <w:szCs w:val="28"/>
          <w:u w:val="single"/>
          <w:rtl/>
        </w:rPr>
        <w:t>3</w:t>
      </w:r>
      <w:r>
        <w:rPr>
          <w:rFonts w:cs="David Transparent" w:hint="cs"/>
          <w:b/>
          <w:bCs/>
          <w:szCs w:val="28"/>
          <w:rtl/>
        </w:rPr>
        <w:t>____</w:t>
      </w:r>
    </w:p>
    <w:p w:rsidR="00C25184" w:rsidRDefault="006A3BCA" w:rsidP="006A3BCA">
      <w:pPr>
        <w:spacing w:line="360" w:lineRule="auto"/>
        <w:rPr>
          <w:rFonts w:cs="David Transparent"/>
          <w:b/>
          <w:bCs/>
          <w:szCs w:val="28"/>
        </w:rPr>
      </w:pPr>
      <w:r>
        <w:rPr>
          <w:rFonts w:cs="David Transparent" w:hint="cs"/>
          <w:b/>
          <w:bCs/>
          <w:szCs w:val="28"/>
          <w:rtl/>
        </w:rPr>
        <w:t>שם תכשיר באנגלית</w:t>
      </w:r>
      <w:r w:rsidR="007A4917">
        <w:rPr>
          <w:rFonts w:cs="David Transparent" w:hint="cs"/>
          <w:b/>
          <w:bCs/>
          <w:szCs w:val="28"/>
          <w:rtl/>
        </w:rPr>
        <w:t>:</w:t>
      </w:r>
    </w:p>
    <w:p w:rsidR="006A3BCA" w:rsidRDefault="006A3BCA" w:rsidP="006A3BCA">
      <w:pPr>
        <w:spacing w:line="360" w:lineRule="auto"/>
        <w:rPr>
          <w:rFonts w:cs="David Transparent"/>
          <w:b/>
          <w:bCs/>
          <w:szCs w:val="28"/>
          <w:rtl/>
        </w:rPr>
      </w:pPr>
      <w:r>
        <w:rPr>
          <w:rFonts w:cs="David Transparent" w:hint="cs"/>
          <w:b/>
          <w:bCs/>
          <w:szCs w:val="28"/>
          <w:rtl/>
        </w:rPr>
        <w:t xml:space="preserve">   </w:t>
      </w:r>
      <w:r>
        <w:rPr>
          <w:rFonts w:cs="David Transparent"/>
          <w:b/>
          <w:bCs/>
          <w:szCs w:val="28"/>
          <w:u w:val="single"/>
        </w:rPr>
        <w:t>CLEXANE, CLEXANE FORTE</w:t>
      </w:r>
      <w:r w:rsidR="00C25184">
        <w:rPr>
          <w:rFonts w:cs="David Transparent"/>
          <w:b/>
          <w:bCs/>
          <w:szCs w:val="28"/>
          <w:u w:val="single"/>
        </w:rPr>
        <w:t>, CLEXANE MULTI- DOSE VIAL</w:t>
      </w:r>
      <w:r w:rsidRPr="006D25DE">
        <w:rPr>
          <w:rFonts w:cs="David Transparent"/>
          <w:szCs w:val="28"/>
          <w:u w:val="single"/>
        </w:rPr>
        <w:t xml:space="preserve"> </w:t>
      </w:r>
    </w:p>
    <w:p w:rsidR="006A3BCA" w:rsidRDefault="006A3BCA" w:rsidP="006A3BCA">
      <w:pPr>
        <w:spacing w:line="360" w:lineRule="auto"/>
        <w:rPr>
          <w:rFonts w:cs="David Transparent"/>
          <w:b/>
          <w:bCs/>
          <w:szCs w:val="28"/>
          <w:rtl/>
        </w:rPr>
      </w:pPr>
      <w:r>
        <w:rPr>
          <w:rFonts w:cs="David Transparent" w:hint="cs"/>
          <w:b/>
          <w:bCs/>
          <w:szCs w:val="28"/>
          <w:rtl/>
        </w:rPr>
        <w:t>מספר</w:t>
      </w:r>
      <w:r w:rsidR="00C25184">
        <w:rPr>
          <w:rFonts w:cs="David Transparent" w:hint="cs"/>
          <w:b/>
          <w:bCs/>
          <w:szCs w:val="28"/>
          <w:rtl/>
        </w:rPr>
        <w:t>י</w:t>
      </w:r>
      <w:r>
        <w:rPr>
          <w:rFonts w:cs="David Transparent" w:hint="cs"/>
          <w:b/>
          <w:bCs/>
          <w:szCs w:val="28"/>
          <w:rtl/>
        </w:rPr>
        <w:t xml:space="preserve"> רישום</w:t>
      </w:r>
      <w:r w:rsidR="007A4917">
        <w:rPr>
          <w:rFonts w:cs="David Transparent" w:hint="cs"/>
          <w:b/>
          <w:bCs/>
          <w:szCs w:val="28"/>
          <w:rtl/>
        </w:rPr>
        <w:t>:</w:t>
      </w:r>
      <w:r w:rsidRPr="00881634">
        <w:rPr>
          <w:rFonts w:cs="David Transparent"/>
          <w:b/>
          <w:bCs/>
          <w:szCs w:val="28"/>
          <w:u w:val="single"/>
        </w:rPr>
        <w:t xml:space="preserve">46772603700/11, 1206030007, </w:t>
      </w:r>
      <w:r w:rsidR="00C25184" w:rsidRPr="00881634">
        <w:rPr>
          <w:rFonts w:cs="David Transparent"/>
          <w:b/>
          <w:bCs/>
          <w:szCs w:val="28"/>
          <w:u w:val="single"/>
        </w:rPr>
        <w:t>1414132031</w:t>
      </w:r>
      <w:r>
        <w:rPr>
          <w:rFonts w:cs="David Transparent"/>
          <w:b/>
          <w:bCs/>
          <w:szCs w:val="28"/>
        </w:rPr>
        <w:t xml:space="preserve"> </w:t>
      </w:r>
      <w:r>
        <w:rPr>
          <w:rFonts w:cs="David Transparent" w:hint="cs"/>
          <w:b/>
          <w:bCs/>
          <w:szCs w:val="28"/>
          <w:rtl/>
        </w:rPr>
        <w:t xml:space="preserve"> </w:t>
      </w:r>
    </w:p>
    <w:p w:rsidR="007326F0" w:rsidRDefault="007326F0" w:rsidP="004A476F">
      <w:pPr>
        <w:spacing w:line="360" w:lineRule="auto"/>
        <w:rPr>
          <w:rFonts w:cs="David Transparent"/>
          <w:b/>
          <w:bCs/>
          <w:szCs w:val="28"/>
          <w:u w:val="single"/>
          <w:rtl/>
        </w:rPr>
      </w:pPr>
      <w:r>
        <w:rPr>
          <w:rFonts w:cs="David Transparent" w:hint="cs"/>
          <w:b/>
          <w:bCs/>
          <w:szCs w:val="28"/>
          <w:rtl/>
        </w:rPr>
        <w:t>שם בעל הרישום</w:t>
      </w:r>
      <w:r w:rsidR="007A4917">
        <w:rPr>
          <w:rFonts w:cs="David Transparent" w:hint="cs"/>
          <w:b/>
          <w:bCs/>
          <w:szCs w:val="28"/>
          <w:rtl/>
        </w:rPr>
        <w:t>:</w:t>
      </w:r>
      <w:r>
        <w:rPr>
          <w:rFonts w:cs="David Transparent" w:hint="cs"/>
          <w:b/>
          <w:bCs/>
          <w:szCs w:val="28"/>
          <w:rtl/>
        </w:rPr>
        <w:t xml:space="preserve">     </w:t>
      </w:r>
      <w:proofErr w:type="spellStart"/>
      <w:r>
        <w:rPr>
          <w:rFonts w:cs="David Transparent"/>
          <w:b/>
          <w:bCs/>
          <w:szCs w:val="28"/>
          <w:u w:val="single"/>
        </w:rPr>
        <w:t>s</w:t>
      </w:r>
      <w:r w:rsidRPr="006D25DE">
        <w:rPr>
          <w:rFonts w:cs="David Transparent"/>
          <w:b/>
          <w:bCs/>
          <w:szCs w:val="28"/>
          <w:u w:val="single"/>
        </w:rPr>
        <w:t>anofi</w:t>
      </w:r>
      <w:proofErr w:type="spellEnd"/>
      <w:r w:rsidRPr="006D25DE">
        <w:rPr>
          <w:rFonts w:cs="David Transparent"/>
          <w:b/>
          <w:bCs/>
          <w:szCs w:val="28"/>
          <w:u w:val="single"/>
        </w:rPr>
        <w:t xml:space="preserve"> </w:t>
      </w:r>
      <w:proofErr w:type="spellStart"/>
      <w:r>
        <w:rPr>
          <w:rFonts w:cs="David Transparent"/>
          <w:b/>
          <w:bCs/>
          <w:szCs w:val="28"/>
          <w:u w:val="single"/>
        </w:rPr>
        <w:t>a</w:t>
      </w:r>
      <w:r w:rsidRPr="006D25DE">
        <w:rPr>
          <w:rFonts w:cs="David Transparent"/>
          <w:b/>
          <w:bCs/>
          <w:szCs w:val="28"/>
          <w:u w:val="single"/>
        </w:rPr>
        <w:t>ventis</w:t>
      </w:r>
      <w:proofErr w:type="spellEnd"/>
      <w:r w:rsidRPr="006D25DE">
        <w:rPr>
          <w:rFonts w:cs="David Transparent"/>
          <w:b/>
          <w:bCs/>
          <w:szCs w:val="28"/>
          <w:u w:val="single"/>
        </w:rPr>
        <w:t xml:space="preserve"> Israel </w:t>
      </w:r>
      <w:r>
        <w:rPr>
          <w:rFonts w:cs="David Transparent"/>
          <w:b/>
          <w:bCs/>
          <w:szCs w:val="28"/>
          <w:u w:val="single"/>
        </w:rPr>
        <w:t>l</w:t>
      </w:r>
      <w:r w:rsidRPr="006D25DE">
        <w:rPr>
          <w:rFonts w:cs="David Transparent"/>
          <w:b/>
          <w:bCs/>
          <w:szCs w:val="28"/>
          <w:u w:val="single"/>
        </w:rPr>
        <w:t>td</w:t>
      </w:r>
    </w:p>
    <w:p w:rsidR="00CD787C" w:rsidRPr="002B2685" w:rsidRDefault="00CD787C" w:rsidP="00CD787C">
      <w:pPr>
        <w:spacing w:line="360" w:lineRule="auto"/>
        <w:jc w:val="center"/>
        <w:rPr>
          <w:rFonts w:cs="David Transparent"/>
          <w:b/>
          <w:bCs/>
          <w:color w:val="FF0000"/>
          <w:szCs w:val="28"/>
          <w:rtl/>
        </w:rPr>
      </w:pPr>
      <w:r w:rsidRPr="002B2685">
        <w:rPr>
          <w:rFonts w:cs="David Transparent" w:hint="cs"/>
          <w:b/>
          <w:bCs/>
          <w:color w:val="FF0000"/>
          <w:szCs w:val="28"/>
          <w:u w:val="single"/>
          <w:rtl/>
        </w:rPr>
        <w:t>טופס</w:t>
      </w:r>
      <w:r>
        <w:rPr>
          <w:rFonts w:cs="David Transparent" w:hint="cs"/>
          <w:b/>
          <w:bCs/>
          <w:color w:val="FF0000"/>
          <w:szCs w:val="28"/>
          <w:u w:val="single"/>
          <w:rtl/>
        </w:rPr>
        <w:t xml:space="preserve"> זה</w:t>
      </w:r>
      <w:r w:rsidRPr="002B2685">
        <w:rPr>
          <w:rFonts w:cs="David Transparent" w:hint="cs"/>
          <w:b/>
          <w:bCs/>
          <w:color w:val="FF0000"/>
          <w:szCs w:val="28"/>
          <w:u w:val="single"/>
          <w:rtl/>
        </w:rPr>
        <w:t xml:space="preserve"> מיועד לפרוט </w:t>
      </w:r>
      <w:proofErr w:type="spellStart"/>
      <w:r w:rsidRPr="002B2685">
        <w:rPr>
          <w:rFonts w:cs="David Transparent" w:hint="cs"/>
          <w:b/>
          <w:bCs/>
          <w:color w:val="FF0000"/>
          <w:szCs w:val="28"/>
          <w:u w:val="single"/>
          <w:rtl/>
        </w:rPr>
        <w:t>ההחמרות</w:t>
      </w:r>
      <w:proofErr w:type="spellEnd"/>
      <w:r w:rsidRPr="002B2685">
        <w:rPr>
          <w:rFonts w:cs="David Transparent" w:hint="cs"/>
          <w:b/>
          <w:bCs/>
          <w:color w:val="FF0000"/>
          <w:szCs w:val="28"/>
          <w:u w:val="single"/>
          <w:rtl/>
        </w:rPr>
        <w:t xml:space="preserve"> בלבד !</w:t>
      </w:r>
    </w:p>
    <w:tbl>
      <w:tblPr>
        <w:bidiVisual/>
        <w:tblW w:w="900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850"/>
        <w:gridCol w:w="6134"/>
      </w:tblGrid>
      <w:tr w:rsidR="007326F0" w:rsidTr="006200EF">
        <w:trPr>
          <w:cantSplit/>
        </w:trPr>
        <w:tc>
          <w:tcPr>
            <w:tcW w:w="9000" w:type="dxa"/>
            <w:gridSpan w:val="3"/>
            <w:tcBorders>
              <w:bottom w:val="single" w:sz="24" w:space="0" w:color="auto"/>
              <w:right w:val="nil"/>
            </w:tcBorders>
            <w:shd w:val="pct12" w:color="auto" w:fill="FFFFFF"/>
          </w:tcPr>
          <w:p w:rsidR="007326F0" w:rsidRDefault="007326F0" w:rsidP="006200EF">
            <w:pPr>
              <w:jc w:val="center"/>
              <w:rPr>
                <w:rFonts w:cs="David Transparent"/>
                <w:b/>
                <w:bCs/>
                <w:rtl/>
              </w:rPr>
            </w:pPr>
          </w:p>
          <w:p w:rsidR="007326F0" w:rsidRDefault="009F1E5A" w:rsidP="006200EF">
            <w:pPr>
              <w:jc w:val="center"/>
              <w:rPr>
                <w:rFonts w:cs="David Transparent"/>
                <w:b/>
                <w:bCs/>
                <w:rtl/>
              </w:rPr>
            </w:pPr>
            <w:proofErr w:type="spellStart"/>
            <w:r>
              <w:rPr>
                <w:rFonts w:cs="David Transparent" w:hint="cs"/>
                <w:b/>
                <w:bCs/>
                <w:rtl/>
              </w:rPr>
              <w:t>ההחמרות</w:t>
            </w:r>
            <w:proofErr w:type="spellEnd"/>
            <w:r>
              <w:rPr>
                <w:rFonts w:cs="David Transparent" w:hint="cs"/>
                <w:b/>
                <w:bCs/>
                <w:rtl/>
              </w:rPr>
              <w:t xml:space="preserve"> המבוקשות</w:t>
            </w:r>
          </w:p>
        </w:tc>
      </w:tr>
      <w:tr w:rsidR="007326F0" w:rsidTr="00F738EC">
        <w:tc>
          <w:tcPr>
            <w:tcW w:w="2016" w:type="dxa"/>
            <w:tcBorders>
              <w:top w:val="nil"/>
            </w:tcBorders>
          </w:tcPr>
          <w:p w:rsidR="007326F0" w:rsidRDefault="007326F0" w:rsidP="006200EF">
            <w:pPr>
              <w:jc w:val="center"/>
              <w:rPr>
                <w:rFonts w:cs="David Transparent"/>
                <w:b/>
                <w:bCs/>
                <w:szCs w:val="22"/>
                <w:rtl/>
              </w:rPr>
            </w:pPr>
          </w:p>
          <w:p w:rsidR="007326F0" w:rsidRDefault="007326F0" w:rsidP="006200EF">
            <w:pPr>
              <w:jc w:val="center"/>
              <w:rPr>
                <w:rFonts w:cs="David Transparent"/>
                <w:b/>
                <w:bCs/>
                <w:szCs w:val="22"/>
                <w:rtl/>
              </w:rPr>
            </w:pPr>
            <w:r>
              <w:rPr>
                <w:rFonts w:cs="David Transparent"/>
                <w:b/>
                <w:bCs/>
                <w:szCs w:val="22"/>
                <w:rtl/>
              </w:rPr>
              <w:t>פרק בעלון</w:t>
            </w:r>
          </w:p>
          <w:p w:rsidR="007326F0" w:rsidRDefault="007326F0" w:rsidP="006200EF">
            <w:pPr>
              <w:jc w:val="center"/>
              <w:rPr>
                <w:rFonts w:cs="David Transparent"/>
                <w:b/>
                <w:bCs/>
                <w:szCs w:val="22"/>
                <w:rtl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26F0" w:rsidRDefault="007326F0" w:rsidP="006200EF">
            <w:pPr>
              <w:jc w:val="center"/>
              <w:rPr>
                <w:rFonts w:cs="David Transparent"/>
                <w:b/>
                <w:bCs/>
                <w:szCs w:val="22"/>
                <w:rtl/>
              </w:rPr>
            </w:pPr>
          </w:p>
          <w:p w:rsidR="007326F0" w:rsidRDefault="007326F0" w:rsidP="006200EF">
            <w:pPr>
              <w:jc w:val="center"/>
              <w:rPr>
                <w:rFonts w:cs="David Transparent"/>
                <w:b/>
                <w:bCs/>
                <w:szCs w:val="22"/>
                <w:rtl/>
              </w:rPr>
            </w:pPr>
            <w:r>
              <w:rPr>
                <w:rFonts w:cs="David Transparent"/>
                <w:b/>
                <w:bCs/>
                <w:szCs w:val="22"/>
                <w:rtl/>
              </w:rPr>
              <w:t>טקסט נוכחי</w:t>
            </w:r>
          </w:p>
        </w:tc>
        <w:tc>
          <w:tcPr>
            <w:tcW w:w="6134" w:type="dxa"/>
            <w:tcBorders>
              <w:top w:val="nil"/>
              <w:right w:val="nil"/>
            </w:tcBorders>
          </w:tcPr>
          <w:p w:rsidR="007326F0" w:rsidRDefault="007326F0" w:rsidP="006200EF">
            <w:pPr>
              <w:jc w:val="center"/>
              <w:rPr>
                <w:rFonts w:cs="David Transparent"/>
                <w:b/>
                <w:bCs/>
                <w:szCs w:val="22"/>
                <w:rtl/>
              </w:rPr>
            </w:pPr>
          </w:p>
          <w:p w:rsidR="007326F0" w:rsidRDefault="007326F0" w:rsidP="006200EF">
            <w:pPr>
              <w:jc w:val="center"/>
              <w:rPr>
                <w:rFonts w:cs="David Transparent"/>
                <w:b/>
                <w:bCs/>
                <w:szCs w:val="22"/>
                <w:rtl/>
              </w:rPr>
            </w:pPr>
            <w:r>
              <w:rPr>
                <w:rFonts w:cs="David Transparent"/>
                <w:b/>
                <w:bCs/>
                <w:szCs w:val="22"/>
                <w:rtl/>
              </w:rPr>
              <w:t>טקסט חדש</w:t>
            </w:r>
          </w:p>
        </w:tc>
      </w:tr>
      <w:tr w:rsidR="007326F0" w:rsidTr="00F738EC">
        <w:trPr>
          <w:trHeight w:val="340"/>
        </w:trPr>
        <w:tc>
          <w:tcPr>
            <w:tcW w:w="2016" w:type="dxa"/>
            <w:vAlign w:val="center"/>
          </w:tcPr>
          <w:p w:rsidR="00267392" w:rsidRDefault="00267392" w:rsidP="001332AD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Pr="001651C6" w:rsidRDefault="00C7644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651C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Posology and method of administration</w:t>
            </w:r>
          </w:p>
          <w:p w:rsidR="00267392" w:rsidRPr="001651C6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Pr="001651C6" w:rsidRDefault="007376F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651C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  <w:t>Special warnings and special precautions for use</w:t>
            </w: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76F2" w:rsidRDefault="007376F2" w:rsidP="007376F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267392" w:rsidRDefault="00267392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1332AD" w:rsidRPr="001651C6" w:rsidRDefault="001332AD" w:rsidP="00267392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651C6">
              <w:rPr>
                <w:rFonts w:ascii="Tahoma" w:hAnsi="Tahoma" w:cs="Tahoma"/>
                <w:b/>
                <w:sz w:val="20"/>
                <w:szCs w:val="20"/>
                <w:u w:val="single"/>
              </w:rPr>
              <w:t>Undesirable effects</w:t>
            </w: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Pr="001332AD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7326F0" w:rsidRDefault="007326F0" w:rsidP="001332AD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Default="00C17D76" w:rsidP="00C17D76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C17D76" w:rsidRPr="001332AD" w:rsidRDefault="00C17D76" w:rsidP="00C17D76">
            <w:pPr>
              <w:autoSpaceDE w:val="0"/>
              <w:autoSpaceDN w:val="0"/>
              <w:bidi w:val="0"/>
              <w:adjustRightInd w:val="0"/>
              <w:rPr>
                <w:rFonts w:ascii="Tahoma" w:hAnsi="Tahoma" w:cs="Tahoma"/>
                <w:b/>
                <w:u w:val="single"/>
              </w:rPr>
            </w:pPr>
          </w:p>
          <w:p w:rsidR="007326F0" w:rsidRPr="001651C6" w:rsidRDefault="00C17D76" w:rsidP="006200EF">
            <w:pPr>
              <w:bidi w:val="0"/>
              <w:spacing w:line="480" w:lineRule="auto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1651C6">
              <w:rPr>
                <w:rFonts w:ascii="Tahoma" w:hAnsi="Tahoma" w:cs="Tahoma"/>
                <w:b/>
                <w:sz w:val="16"/>
                <w:szCs w:val="16"/>
                <w:u w:val="single"/>
              </w:rPr>
              <w:t>PHARMACOLOGICAL PROPERTIES</w:t>
            </w:r>
          </w:p>
        </w:tc>
        <w:tc>
          <w:tcPr>
            <w:tcW w:w="850" w:type="dxa"/>
            <w:vAlign w:val="center"/>
          </w:tcPr>
          <w:p w:rsidR="007326F0" w:rsidRDefault="007326F0" w:rsidP="006200EF">
            <w:pPr>
              <w:bidi w:val="0"/>
            </w:pPr>
          </w:p>
        </w:tc>
        <w:tc>
          <w:tcPr>
            <w:tcW w:w="6134" w:type="dxa"/>
            <w:tcBorders>
              <w:right w:val="nil"/>
            </w:tcBorders>
            <w:vAlign w:val="center"/>
          </w:tcPr>
          <w:p w:rsidR="00F738EC" w:rsidRPr="001D61DB" w:rsidRDefault="00F738EC" w:rsidP="00F738EC">
            <w:pPr>
              <w:autoSpaceDE w:val="0"/>
              <w:autoSpaceDN w:val="0"/>
              <w:spacing w:before="120" w:after="120"/>
              <w:ind w:left="72"/>
              <w:rPr>
                <w:rFonts w:cs="Arial"/>
                <w:b/>
                <w:bCs/>
                <w:rtl/>
                <w:lang w:val="en-GB" w:eastAsia="de-DE"/>
              </w:rPr>
            </w:pPr>
            <w:r w:rsidRPr="001D61DB">
              <w:rPr>
                <w:rFonts w:cs="Arial"/>
                <w:b/>
                <w:bCs/>
                <w:rtl/>
                <w:lang w:val="en-GB" w:eastAsia="de-DE"/>
              </w:rPr>
              <w:t>טקסט שהוסף מסומן ב</w:t>
            </w:r>
            <w:r w:rsidRPr="001D61DB">
              <w:rPr>
                <w:rFonts w:cs="Arial"/>
                <w:b/>
                <w:bCs/>
                <w:highlight w:val="yellow"/>
                <w:rtl/>
                <w:lang w:val="en-GB" w:eastAsia="de-DE"/>
              </w:rPr>
              <w:t>צהוב</w:t>
            </w:r>
            <w:r w:rsidRPr="001D61DB">
              <w:rPr>
                <w:rFonts w:cs="Arial"/>
                <w:b/>
                <w:bCs/>
                <w:rtl/>
                <w:lang w:val="en-GB" w:eastAsia="de-DE"/>
              </w:rPr>
              <w:t xml:space="preserve"> , טקסט מחוק מסומן ב</w:t>
            </w:r>
            <w:r w:rsidRPr="001D61DB">
              <w:rPr>
                <w:rFonts w:cs="Arial"/>
                <w:b/>
                <w:bCs/>
                <w:color w:val="FF0000"/>
                <w:rtl/>
                <w:lang w:val="en-GB" w:eastAsia="de-DE"/>
              </w:rPr>
              <w:t>אדום</w:t>
            </w:r>
            <w:r w:rsidRPr="001D61DB">
              <w:rPr>
                <w:rFonts w:cs="Arial"/>
                <w:b/>
                <w:bCs/>
                <w:rtl/>
                <w:lang w:val="en-GB" w:eastAsia="de-DE"/>
              </w:rPr>
              <w:t xml:space="preserve"> עם קו חוצה, שינויי מיקום וניסוח מסומנים ב</w:t>
            </w:r>
            <w:r w:rsidRPr="001D61DB">
              <w:rPr>
                <w:rFonts w:cs="Arial"/>
                <w:b/>
                <w:bCs/>
                <w:highlight w:val="green"/>
                <w:rtl/>
                <w:lang w:val="en-GB" w:eastAsia="de-DE"/>
              </w:rPr>
              <w:t>ירוק</w:t>
            </w:r>
            <w:r w:rsidRPr="001D61DB">
              <w:rPr>
                <w:rFonts w:cs="Arial"/>
                <w:b/>
                <w:bCs/>
                <w:rtl/>
                <w:lang w:val="en-GB" w:eastAsia="de-DE"/>
              </w:rPr>
              <w:t xml:space="preserve">. </w:t>
            </w:r>
          </w:p>
          <w:p w:rsidR="00F738EC" w:rsidRDefault="00F738EC" w:rsidP="004B15CC">
            <w:pPr>
              <w:autoSpaceDE w:val="0"/>
              <w:autoSpaceDN w:val="0"/>
              <w:spacing w:before="120" w:after="120"/>
              <w:ind w:left="72"/>
              <w:rPr>
                <w:rFonts w:cs="Arial"/>
                <w:b/>
                <w:bCs/>
                <w:rtl/>
                <w:lang w:val="en-GB" w:eastAsia="de-DE"/>
              </w:rPr>
            </w:pPr>
            <w:r w:rsidRPr="001D61DB">
              <w:rPr>
                <w:rFonts w:cs="Arial"/>
                <w:b/>
                <w:bCs/>
                <w:rtl/>
                <w:lang w:val="en-GB" w:eastAsia="de-DE"/>
              </w:rPr>
              <w:t>(יש להדגיש כי  מוזכרים כאן רק תתי הסעיפים שבהם נעשו שינויים במידע בטיחות, מידע מלא ניתן למצוא בעלון המלא):</w:t>
            </w:r>
          </w:p>
          <w:p w:rsidR="004B15CC" w:rsidRDefault="004B15CC" w:rsidP="004B15CC">
            <w:pPr>
              <w:autoSpaceDE w:val="0"/>
              <w:autoSpaceDN w:val="0"/>
              <w:spacing w:before="120" w:after="120"/>
              <w:ind w:left="72"/>
              <w:rPr>
                <w:rFonts w:ascii="Tahoma" w:hAnsi="Tahoma" w:cs="Tahoma"/>
                <w:b/>
              </w:rPr>
            </w:pPr>
          </w:p>
          <w:p w:rsidR="001D61DB" w:rsidRPr="00E751BD" w:rsidRDefault="00485B25" w:rsidP="00F738EC">
            <w:pPr>
              <w:ind w:left="-143" w:right="-142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C0768">
              <w:rPr>
                <w:rFonts w:ascii="Tahoma" w:hAnsi="Tahoma" w:cs="Tahoma"/>
                <w:b/>
              </w:rPr>
              <w:tab/>
            </w:r>
            <w:r w:rsidRPr="00485B25">
              <w:rPr>
                <w:rFonts w:ascii="Tahoma" w:hAnsi="Tahoma" w:cs="Tahoma"/>
                <w:b/>
                <w:sz w:val="20"/>
                <w:szCs w:val="20"/>
              </w:rPr>
              <w:t>4.2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485B25">
              <w:rPr>
                <w:rFonts w:ascii="Tahoma" w:hAnsi="Tahoma" w:cs="Tahoma"/>
                <w:b/>
                <w:bCs/>
                <w:sz w:val="20"/>
                <w:szCs w:val="20"/>
              </w:rPr>
              <w:t>Posology and method of administration</w:t>
            </w:r>
            <w:r w:rsidR="001D61DB">
              <w:rPr>
                <w:rFonts w:cs="David Transparent" w:hint="cs"/>
                <w:szCs w:val="28"/>
                <w:rtl/>
              </w:rPr>
              <w:t xml:space="preserve">                                                              </w:t>
            </w:r>
          </w:p>
          <w:p w:rsidR="00C45656" w:rsidRPr="00DC7A09" w:rsidRDefault="00DC7A09" w:rsidP="00DC7A09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C7A0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.......</w:t>
            </w:r>
          </w:p>
          <w:p w:rsidR="00C45656" w:rsidRPr="00C45656" w:rsidRDefault="00C45656" w:rsidP="00C45656">
            <w:pPr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</w:pPr>
            <w:r w:rsidRPr="00C45656">
              <w:rPr>
                <w:rFonts w:ascii="Tahoma" w:hAnsi="Tahoma" w:cs="Tahoma" w:hint="cs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C45656">
              <w:rPr>
                <w:rFonts w:ascii="Tahoma" w:hAnsi="Tahoma" w:cs="Tahoma"/>
                <w:color w:val="000000"/>
                <w:sz w:val="20"/>
                <w:szCs w:val="20"/>
                <w:lang w:eastAsia="en-US" w:bidi="ar-SA"/>
              </w:rPr>
              <w:t xml:space="preserve">    </w:t>
            </w:r>
            <w:r w:rsidRPr="00C45656"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  <w:t xml:space="preserve">LMWH dosage has not been evaluated in terms of bodyweight in patients weighing more    </w:t>
            </w:r>
          </w:p>
          <w:p w:rsidR="00C45656" w:rsidRPr="00C45656" w:rsidRDefault="00C45656" w:rsidP="00C45656">
            <w:pPr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</w:pPr>
            <w:r w:rsidRPr="00C45656"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  <w:t xml:space="preserve">    </w:t>
            </w:r>
            <w:proofErr w:type="gramStart"/>
            <w:r w:rsidRPr="00C45656"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  <w:t>than</w:t>
            </w:r>
            <w:proofErr w:type="gramEnd"/>
            <w:r w:rsidRPr="00C45656"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  <w:t xml:space="preserve"> 100 kg or less than 40 kg. The efficacy of  LMWH  treatment may be slightly lower in </w:t>
            </w:r>
          </w:p>
          <w:p w:rsidR="00C45656" w:rsidRPr="00C45656" w:rsidRDefault="00C45656" w:rsidP="00C45656">
            <w:pPr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</w:pPr>
            <w:r w:rsidRPr="00C45656"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  <w:t xml:space="preserve">    patients weighing more than 100 kg, and the risk of hemorrhage may be higher in patients     </w:t>
            </w:r>
          </w:p>
          <w:p w:rsidR="00C45656" w:rsidRPr="00C45656" w:rsidRDefault="00C45656" w:rsidP="00C45656">
            <w:pPr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0"/>
                <w:szCs w:val="20"/>
                <w:lang w:eastAsia="en-US" w:bidi="ar-SA"/>
              </w:rPr>
            </w:pPr>
            <w:r w:rsidRPr="00C45656"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  <w:t xml:space="preserve">    </w:t>
            </w:r>
            <w:proofErr w:type="gramStart"/>
            <w:r w:rsidRPr="00C45656"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  <w:t>weighing</w:t>
            </w:r>
            <w:proofErr w:type="gramEnd"/>
            <w:r w:rsidRPr="00C45656"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  <w:t xml:space="preserve"> less than 40 kg. Specific clinical monitoring must be carried out in these patients.</w:t>
            </w:r>
            <w:r w:rsidRPr="00C45656">
              <w:rPr>
                <w:rFonts w:ascii="Tahoma" w:hAnsi="Tahoma" w:cs="Tahoma"/>
                <w:sz w:val="20"/>
                <w:szCs w:val="20"/>
                <w:lang w:eastAsia="en-US" w:bidi="ar-SA"/>
              </w:rPr>
              <w:t xml:space="preserve"> </w:t>
            </w:r>
          </w:p>
          <w:p w:rsidR="00C45656" w:rsidRPr="00C45656" w:rsidRDefault="00C45656" w:rsidP="00C45656">
            <w:pPr>
              <w:bidi w:val="0"/>
              <w:spacing w:before="100" w:beforeAutospacing="1" w:after="83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</w:pPr>
            <w:r w:rsidRPr="00C4565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  <w:lang w:eastAsia="en-US" w:bidi="ar-SA"/>
              </w:rPr>
              <w:t>Body weight:</w:t>
            </w:r>
          </w:p>
          <w:p w:rsidR="00C45656" w:rsidRPr="00C45656" w:rsidRDefault="00C45656" w:rsidP="00C45656">
            <w:pPr>
              <w:bidi w:val="0"/>
              <w:spacing w:before="100" w:beforeAutospacing="1" w:after="83"/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</w:pPr>
            <w:r w:rsidRPr="00C45656">
              <w:rPr>
                <w:rFonts w:ascii="Tahoma" w:hAnsi="Tahoma" w:cs="Tahoma"/>
                <w:strike/>
                <w:sz w:val="20"/>
                <w:szCs w:val="20"/>
                <w:lang w:eastAsia="en-US" w:bidi="ar-SA"/>
              </w:rPr>
              <w:t xml:space="preserve">No dosage adjustments are recommended in obesity or low body weight </w:t>
            </w:r>
          </w:p>
          <w:p w:rsidR="00C45656" w:rsidRPr="00C45656" w:rsidRDefault="00C45656" w:rsidP="00C45656">
            <w:pPr>
              <w:bidi w:val="0"/>
              <w:spacing w:before="100" w:beforeAutospacing="1" w:after="83"/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</w:pPr>
            <w:r w:rsidRPr="00C4565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>Low weight</w:t>
            </w:r>
            <w:r w:rsidRPr="00C45656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 xml:space="preserve"> </w:t>
            </w:r>
          </w:p>
          <w:p w:rsidR="00C45656" w:rsidRPr="00C45656" w:rsidRDefault="00C45656" w:rsidP="00C45656">
            <w:pPr>
              <w:numPr>
                <w:ilvl w:val="12"/>
                <w:numId w:val="0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3119"/>
                <w:tab w:val="left" w:pos="4536"/>
              </w:tabs>
              <w:bidi w:val="0"/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</w:pPr>
            <w:r w:rsidRPr="00C45656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 xml:space="preserve">An increase in exposure of enoxaparin sodium with prophylactic dosages (non-weight adjusted) has been observed in low-weight </w:t>
            </w:r>
            <w:r w:rsidRPr="00C45656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lastRenderedPageBreak/>
              <w:t>women (&lt;45 kg) and low-weight men (&lt;57 kg), which may lead to a higher risk of bleeding. Therefore, careful clinical monitoring is advised in these patients.</w:t>
            </w:r>
          </w:p>
          <w:p w:rsidR="00C45656" w:rsidRPr="00C45656" w:rsidRDefault="00C45656" w:rsidP="00C45656">
            <w:pPr>
              <w:bidi w:val="0"/>
              <w:spacing w:before="100" w:beforeAutospacing="1" w:after="83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</w:pPr>
            <w:r w:rsidRPr="00C4565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 xml:space="preserve">Obese Patients </w:t>
            </w:r>
          </w:p>
          <w:p w:rsidR="00C45656" w:rsidRPr="00C45656" w:rsidRDefault="00C45656" w:rsidP="0083043A">
            <w:pPr>
              <w:bidi w:val="0"/>
              <w:spacing w:before="100" w:beforeAutospacing="1" w:after="83"/>
              <w:rPr>
                <w:rFonts w:ascii="Tahoma" w:hAnsi="Tahoma" w:cs="Tahoma"/>
                <w:sz w:val="20"/>
                <w:szCs w:val="20"/>
              </w:rPr>
            </w:pPr>
            <w:r w:rsidRPr="00C4565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>Obese patients</w:t>
            </w:r>
            <w:r w:rsidRPr="00C45656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 xml:space="preserve"> are at higher risk for thromboembolism. The safety and efficacy of prophylactic doses in obese patients (BMI &gt;30 kg/m</w:t>
            </w:r>
            <w:r w:rsidRPr="00C45656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vertAlign w:val="superscript"/>
                <w:lang w:eastAsia="en-US" w:bidi="ar-SA"/>
              </w:rPr>
              <w:t>2</w:t>
            </w:r>
            <w:r w:rsidRPr="00C45656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>) has not been fully determined and there is no consensus for dose adjustment. These patients should be observed carefully for signs and symptoms of thromboembolism</w:t>
            </w:r>
            <w:r w:rsidR="0083043A">
              <w:rPr>
                <w:rFonts w:ascii="Tahoma" w:hAnsi="Tahoma" w:cs="Tahoma"/>
                <w:color w:val="00000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 w:rsidRPr="00C45656">
              <w:rPr>
                <w:rFonts w:ascii="Tahoma" w:hAnsi="Tahoma" w:cs="Tahoma"/>
                <w:sz w:val="20"/>
                <w:szCs w:val="20"/>
              </w:rPr>
              <w:t>(see also section 4.4 Special warnings and precautions for use</w:t>
            </w:r>
            <w:r w:rsidRPr="00C45656">
              <w:rPr>
                <w:rFonts w:ascii="Tahoma" w:hAnsi="Tahoma" w:cs="Tahoma"/>
                <w:strike/>
                <w:sz w:val="20"/>
                <w:szCs w:val="20"/>
              </w:rPr>
              <w:t>: Low body weight and Monitoring;</w:t>
            </w:r>
            <w:r w:rsidRPr="00C45656">
              <w:rPr>
                <w:rFonts w:ascii="Tahoma" w:hAnsi="Tahoma" w:cs="Tahoma"/>
                <w:sz w:val="20"/>
                <w:szCs w:val="20"/>
              </w:rPr>
              <w:t xml:space="preserve"> and section 5.2 Pharmacokinetic properties).</w:t>
            </w:r>
          </w:p>
          <w:p w:rsidR="00485B25" w:rsidRPr="00485B25" w:rsidRDefault="004B15CC" w:rsidP="00485B25">
            <w:pPr>
              <w:bidi w:val="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______________________________________________</w:t>
            </w:r>
          </w:p>
          <w:p w:rsidR="00E05B13" w:rsidRDefault="00E05B13" w:rsidP="00E05B13">
            <w:pPr>
              <w:autoSpaceDE w:val="0"/>
              <w:autoSpaceDN w:val="0"/>
              <w:bidi w:val="0"/>
              <w:adjustRightInd w:val="0"/>
              <w:ind w:left="-280" w:firstLine="28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 w:rsidRPr="00E05B1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US" w:bidi="ar-SA"/>
              </w:rPr>
              <w:t xml:space="preserve">4.4 Special warnings and special precautions for use </w:t>
            </w:r>
          </w:p>
          <w:p w:rsidR="00E05B13" w:rsidRDefault="00E05B13" w:rsidP="00E05B13">
            <w:pPr>
              <w:autoSpaceDE w:val="0"/>
              <w:autoSpaceDN w:val="0"/>
              <w:bidi w:val="0"/>
              <w:adjustRightInd w:val="0"/>
              <w:ind w:left="-280" w:firstLine="28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US" w:bidi="ar-SA"/>
              </w:rPr>
              <w:t>……..</w:t>
            </w:r>
          </w:p>
          <w:p w:rsidR="001F2D42" w:rsidRPr="001F2D42" w:rsidRDefault="001F2D42" w:rsidP="001F2D42">
            <w:pPr>
              <w:bidi w:val="0"/>
              <w:spacing w:before="100" w:beforeAutospacing="1" w:after="83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</w:pPr>
            <w:r w:rsidRPr="001F2D42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 xml:space="preserve">Low weight </w:t>
            </w:r>
          </w:p>
          <w:p w:rsidR="001F2D42" w:rsidRPr="001F2D42" w:rsidRDefault="001F2D42" w:rsidP="001F2D42">
            <w:pPr>
              <w:numPr>
                <w:ilvl w:val="12"/>
                <w:numId w:val="0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3119"/>
                <w:tab w:val="left" w:pos="4536"/>
              </w:tabs>
              <w:bidi w:val="0"/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</w:pPr>
            <w:r w:rsidRPr="001F2D42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 xml:space="preserve">An increase in exposure of enoxaparin sodium with prophylactic dosages (non-weight adjusted) has been observed in low-weight women (&lt;45 kg) and low-weight men (&lt;57 kg), which may lead to a higher risk of bleeding. Therefore, careful clinical monitoring is advised in these patients </w:t>
            </w:r>
          </w:p>
          <w:p w:rsidR="001F2D42" w:rsidRPr="001F2D42" w:rsidRDefault="001F2D42" w:rsidP="001F2D42">
            <w:pPr>
              <w:bidi w:val="0"/>
              <w:spacing w:before="100" w:beforeAutospacing="1" w:after="83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</w:pPr>
            <w:r w:rsidRPr="001F2D42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 xml:space="preserve">Obese Patients </w:t>
            </w:r>
          </w:p>
          <w:p w:rsidR="001F2D42" w:rsidRPr="001F2D42" w:rsidRDefault="001F2D42" w:rsidP="001F2D42">
            <w:pPr>
              <w:bidi w:val="0"/>
              <w:spacing w:before="100" w:beforeAutospacing="1" w:after="83"/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</w:pPr>
            <w:r w:rsidRPr="001F2D42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>Obese patients are at higher risk for thromboembolism. The safety and efficacy of prophylactic doses in obese patients (BMI &gt;30 kg/m</w:t>
            </w:r>
            <w:r w:rsidRPr="001F2D42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vertAlign w:val="superscript"/>
                <w:lang w:eastAsia="en-US" w:bidi="ar-SA"/>
              </w:rPr>
              <w:t>2</w:t>
            </w:r>
            <w:r w:rsidRPr="001F2D42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>) has not been fully determined and there is no consensus for dose adjustment. These patients should be observed carefully for signs and symptoms of thromboembolism (see Section 5.2- Pharmacokinetic properties- Weight).</w:t>
            </w:r>
          </w:p>
          <w:p w:rsidR="001F2D42" w:rsidRPr="001F2D42" w:rsidRDefault="001F2D42" w:rsidP="001F2D42">
            <w:pPr>
              <w:bidi w:val="0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:rsidR="001F2D42" w:rsidRPr="001F2D42" w:rsidRDefault="001F2D42" w:rsidP="001F2D42">
            <w:pPr>
              <w:numPr>
                <w:ilvl w:val="12"/>
                <w:numId w:val="0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3119"/>
                <w:tab w:val="left" w:pos="4536"/>
              </w:tabs>
              <w:bidi w:val="0"/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</w:pPr>
            <w:r w:rsidRPr="001F2D42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>(</w:t>
            </w:r>
            <w:proofErr w:type="gramStart"/>
            <w:r w:rsidRPr="001F2D42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>see</w:t>
            </w:r>
            <w:proofErr w:type="gramEnd"/>
            <w:r w:rsidRPr="001F2D42">
              <w:rPr>
                <w:rFonts w:ascii="Tahoma" w:hAnsi="Tahoma" w:cs="Tahoma"/>
                <w:color w:val="000000"/>
                <w:sz w:val="20"/>
                <w:szCs w:val="20"/>
                <w:highlight w:val="yellow"/>
                <w:u w:val="single"/>
                <w:lang w:eastAsia="en-US" w:bidi="ar-SA"/>
              </w:rPr>
              <w:t xml:space="preserve"> Section 4.2 Posology and method of administration and section 5.2 Pharmacokinetic properties- Weight).</w:t>
            </w:r>
          </w:p>
          <w:p w:rsidR="001F2D42" w:rsidRPr="00E05B13" w:rsidRDefault="001F2D42" w:rsidP="001F2D42">
            <w:pPr>
              <w:autoSpaceDE w:val="0"/>
              <w:autoSpaceDN w:val="0"/>
              <w:bidi w:val="0"/>
              <w:adjustRightInd w:val="0"/>
              <w:ind w:left="-280" w:firstLine="28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 w:bidi="ar-SA"/>
              </w:rPr>
              <w:t>……….</w:t>
            </w:r>
          </w:p>
          <w:p w:rsidR="001B0416" w:rsidRDefault="001B0416" w:rsidP="00667EA6">
            <w:pPr>
              <w:pBdr>
                <w:bottom w:val="single" w:sz="12" w:space="1" w:color="auto"/>
              </w:pBd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</w:t>
            </w:r>
          </w:p>
          <w:p w:rsidR="00D65605" w:rsidRPr="0014475F" w:rsidRDefault="00D65605" w:rsidP="00D65605">
            <w:pPr>
              <w:numPr>
                <w:ilvl w:val="1"/>
                <w:numId w:val="16"/>
              </w:numPr>
              <w:bidi w:val="0"/>
              <w:jc w:val="both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14475F">
              <w:rPr>
                <w:rFonts w:ascii="Tahoma" w:hAnsi="Tahoma" w:cs="Tahoma"/>
                <w:b/>
                <w:bCs/>
                <w:sz w:val="20"/>
                <w:szCs w:val="20"/>
              </w:rPr>
              <w:t>Undesirable effects</w:t>
            </w:r>
          </w:p>
          <w:p w:rsidR="00D65605" w:rsidRPr="00D65605" w:rsidRDefault="00D65605" w:rsidP="00D65605">
            <w:pPr>
              <w:numPr>
                <w:ilvl w:val="12"/>
                <w:numId w:val="0"/>
              </w:numPr>
              <w:tabs>
                <w:tab w:val="left" w:pos="567"/>
              </w:tabs>
              <w:bidi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highlight w:val="green"/>
              </w:rPr>
            </w:pPr>
          </w:p>
          <w:p w:rsidR="00D65605" w:rsidRPr="00D65605" w:rsidRDefault="00D65605" w:rsidP="00D65605">
            <w:pPr>
              <w:bidi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5605">
              <w:rPr>
                <w:rFonts w:ascii="Tahoma" w:hAnsi="Tahoma" w:cs="Tahoma"/>
                <w:sz w:val="20"/>
                <w:szCs w:val="20"/>
              </w:rPr>
              <w:t xml:space="preserve">The adverse reactions observed in clinical studies and reported in post-marketing experience are detailed below. </w:t>
            </w:r>
          </w:p>
          <w:p w:rsidR="00D65605" w:rsidRPr="00D65605" w:rsidRDefault="00D65605" w:rsidP="00D65605">
            <w:pPr>
              <w:bidi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5605">
              <w:rPr>
                <w:rFonts w:ascii="Tahoma" w:hAnsi="Tahoma" w:cs="Tahoma"/>
                <w:sz w:val="20"/>
                <w:szCs w:val="20"/>
              </w:rPr>
              <w:t>Frequencies are defined as follows: very common (</w:t>
            </w:r>
            <w:r w:rsidRPr="00D65605">
              <w:rPr>
                <w:rFonts w:ascii="Tahoma" w:hAnsi="Tahoma" w:cs="Tahoma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66A6314" wp14:editId="2A67DA12">
                  <wp:extent cx="114300" cy="114300"/>
                  <wp:effectExtent l="0" t="0" r="0" b="0"/>
                  <wp:docPr id="12" name="Picture 12" descr="Description: GREATER-THAN OR EQUAL TO (88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EATER-THAN OR EQUAL TO (880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605">
              <w:rPr>
                <w:rFonts w:ascii="Tahoma" w:hAnsi="Tahoma" w:cs="Tahoma"/>
                <w:sz w:val="20"/>
                <w:szCs w:val="20"/>
              </w:rPr>
              <w:t xml:space="preserve"> 1/10); common (</w:t>
            </w:r>
            <w:r w:rsidRPr="00D65605">
              <w:rPr>
                <w:rFonts w:ascii="Tahoma" w:hAnsi="Tahoma" w:cs="Tahoma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D25BC47" wp14:editId="5BB4E488">
                  <wp:extent cx="114300" cy="114300"/>
                  <wp:effectExtent l="0" t="0" r="0" b="0"/>
                  <wp:docPr id="13" name="Picture 13" descr="Description: GREATER-THAN OR EQUAL TO (88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GREATER-THAN OR EQUAL TO (880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605">
              <w:rPr>
                <w:rFonts w:ascii="Tahoma" w:hAnsi="Tahoma" w:cs="Tahoma"/>
                <w:sz w:val="20"/>
                <w:szCs w:val="20"/>
              </w:rPr>
              <w:t xml:space="preserve"> 1/100 to &lt; 1/10); uncommon (</w:t>
            </w:r>
            <w:r w:rsidRPr="00D65605">
              <w:rPr>
                <w:rFonts w:ascii="Tahoma" w:hAnsi="Tahoma" w:cs="Tahoma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5B00F18" wp14:editId="0E3FF5D2">
                  <wp:extent cx="114300" cy="114300"/>
                  <wp:effectExtent l="0" t="0" r="0" b="0"/>
                  <wp:docPr id="14" name="Picture 14" descr="Description: GREATER-THAN OR EQUAL TO (88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GREATER-THAN OR EQUAL TO (880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605">
              <w:rPr>
                <w:rFonts w:ascii="Tahoma" w:hAnsi="Tahoma" w:cs="Tahoma"/>
                <w:sz w:val="20"/>
                <w:szCs w:val="20"/>
              </w:rPr>
              <w:t xml:space="preserve"> 1/1000 to &lt; 1/100); rare (</w:t>
            </w:r>
            <w:r w:rsidRPr="00D65605">
              <w:rPr>
                <w:rFonts w:ascii="Tahoma" w:hAnsi="Tahoma" w:cs="Tahoma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6C6348F" wp14:editId="3CDB1F6D">
                  <wp:extent cx="114300" cy="114300"/>
                  <wp:effectExtent l="0" t="0" r="0" b="0"/>
                  <wp:docPr id="15" name="Picture 15" descr="Description: GREATER-THAN OR EQUAL TO (88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GREATER-THAN OR EQUAL TO (880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605">
              <w:rPr>
                <w:rFonts w:ascii="Tahoma" w:hAnsi="Tahoma" w:cs="Tahoma"/>
                <w:sz w:val="20"/>
                <w:szCs w:val="20"/>
              </w:rPr>
              <w:t xml:space="preserve"> 1/10,000 to &lt;1/1,000); </w:t>
            </w:r>
            <w:r w:rsidRPr="00D65605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and </w:t>
            </w:r>
            <w:r w:rsidRPr="00D65605">
              <w:rPr>
                <w:rFonts w:ascii="Tahoma" w:hAnsi="Tahoma" w:cs="Tahoma"/>
                <w:sz w:val="20"/>
                <w:szCs w:val="20"/>
              </w:rPr>
              <w:t xml:space="preserve">very rare </w:t>
            </w:r>
          </w:p>
          <w:p w:rsidR="00D65605" w:rsidRPr="00D65605" w:rsidRDefault="00D65605" w:rsidP="00D65605">
            <w:pPr>
              <w:bidi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5605">
              <w:rPr>
                <w:rFonts w:ascii="Tahoma" w:hAnsi="Tahoma" w:cs="Tahoma"/>
                <w:sz w:val="20"/>
                <w:szCs w:val="20"/>
              </w:rPr>
              <w:t xml:space="preserve">(&lt; 1/10,000) </w:t>
            </w:r>
            <w:r w:rsidRPr="00D65605">
              <w:rPr>
                <w:rFonts w:ascii="Tahoma" w:hAnsi="Tahoma" w:cs="Tahoma"/>
                <w:sz w:val="20"/>
                <w:szCs w:val="20"/>
                <w:highlight w:val="yellow"/>
              </w:rPr>
              <w:t>or not known (cannot be estimated from available data).</w:t>
            </w:r>
            <w:r w:rsidRPr="00D656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65605">
              <w:rPr>
                <w:rFonts w:ascii="Tahoma" w:hAnsi="Tahoma" w:cs="Tahoma"/>
                <w:sz w:val="20"/>
                <w:szCs w:val="20"/>
                <w:highlight w:val="green"/>
              </w:rPr>
              <w:t>Post-marketing</w:t>
            </w:r>
            <w:r w:rsidRPr="00D656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65605">
              <w:rPr>
                <w:rFonts w:ascii="Tahoma" w:hAnsi="Tahoma" w:cs="Tahoma"/>
                <w:sz w:val="20"/>
                <w:szCs w:val="20"/>
                <w:highlight w:val="green"/>
              </w:rPr>
              <w:t>adverse reactions are designated with a frequency</w:t>
            </w:r>
            <w:r w:rsidRPr="00D656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65605">
              <w:rPr>
                <w:rFonts w:ascii="Tahoma" w:hAnsi="Tahoma" w:cs="Tahoma"/>
                <w:sz w:val="20"/>
                <w:szCs w:val="20"/>
                <w:highlight w:val="yellow"/>
              </w:rPr>
              <w:t>“Not known”</w:t>
            </w:r>
            <w:r w:rsidRPr="00D65605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65605" w:rsidRDefault="00D65605" w:rsidP="00D65605">
            <w:pPr>
              <w:bidi w:val="0"/>
              <w:jc w:val="both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r w:rsidRPr="00D65605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Adverse events which have not been observed in clinical trials, but were reported in post-marketing experience are ranked under the frequency “Rare”. </w:t>
            </w:r>
          </w:p>
          <w:p w:rsidR="00E26424" w:rsidRDefault="00E26424" w:rsidP="00E26424">
            <w:pPr>
              <w:bidi w:val="0"/>
              <w:jc w:val="both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</w:p>
          <w:p w:rsidR="00E26424" w:rsidRPr="00E26424" w:rsidRDefault="00E26424" w:rsidP="00E26424">
            <w:pPr>
              <w:bidi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26424">
              <w:rPr>
                <w:rFonts w:ascii="Tahoma" w:hAnsi="Tahoma" w:cs="Tahoma"/>
                <w:b/>
                <w:bCs/>
                <w:sz w:val="20"/>
                <w:szCs w:val="20"/>
              </w:rPr>
              <w:t>Haemorrhages</w:t>
            </w:r>
            <w:proofErr w:type="spellEnd"/>
            <w:r w:rsidRPr="00E264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D65605" w:rsidRDefault="00D65605" w:rsidP="00A25BE3">
            <w:pPr>
              <w:jc w:val="right"/>
              <w:rPr>
                <w:b/>
                <w:bCs/>
                <w:sz w:val="44"/>
                <w:szCs w:val="44"/>
              </w:rPr>
            </w:pPr>
            <w:r w:rsidRPr="00D63D9B">
              <w:rPr>
                <w:b/>
                <w:bCs/>
                <w:sz w:val="44"/>
                <w:szCs w:val="44"/>
              </w:rPr>
              <w:t>……..</w:t>
            </w:r>
          </w:p>
          <w:p w:rsidR="00E26424" w:rsidRPr="00E26424" w:rsidRDefault="00E26424" w:rsidP="00E26424">
            <w:pPr>
              <w:bidi w:val="0"/>
              <w:jc w:val="both"/>
              <w:rPr>
                <w:rFonts w:ascii="Tahoma" w:hAnsi="Tahoma" w:cs="Tahoma"/>
                <w:strike/>
                <w:color w:val="00B050"/>
                <w:sz w:val="20"/>
                <w:szCs w:val="20"/>
              </w:rPr>
            </w:pPr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lastRenderedPageBreak/>
              <w:t xml:space="preserve">In addition, in post marketing experience: </w:t>
            </w:r>
          </w:p>
          <w:p w:rsidR="00E26424" w:rsidRDefault="00E26424" w:rsidP="00E26424">
            <w:pPr>
              <w:bidi w:val="0"/>
              <w:jc w:val="both"/>
              <w:rPr>
                <w:rFonts w:ascii="Tahoma" w:hAnsi="Tahoma" w:cs="Tahoma"/>
                <w:color w:val="00B050"/>
                <w:sz w:val="20"/>
                <w:szCs w:val="20"/>
              </w:rPr>
            </w:pPr>
            <w:r w:rsidRPr="00E26424">
              <w:rPr>
                <w:rFonts w:ascii="Tahoma" w:hAnsi="Tahoma" w:cs="Tahoma"/>
                <w:b/>
                <w:bCs/>
                <w:strike/>
                <w:color w:val="00B050"/>
                <w:sz w:val="20"/>
                <w:szCs w:val="20"/>
              </w:rPr>
              <w:t>Rare:</w:t>
            </w:r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 Cases of spinal </w:t>
            </w:r>
            <w:proofErr w:type="spellStart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>haematoma</w:t>
            </w:r>
            <w:proofErr w:type="spellEnd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 (or </w:t>
            </w:r>
            <w:proofErr w:type="spellStart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>neuraxial</w:t>
            </w:r>
            <w:proofErr w:type="spellEnd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>haematoma</w:t>
            </w:r>
            <w:proofErr w:type="spellEnd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) have been reported with the concurrent use of enoxaparin sodium as well as spinal/epidural </w:t>
            </w:r>
            <w:proofErr w:type="spellStart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>anaesthesia</w:t>
            </w:r>
            <w:proofErr w:type="spellEnd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 or spinal puncture and </w:t>
            </w:r>
            <w:proofErr w:type="spellStart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>post operative</w:t>
            </w:r>
            <w:proofErr w:type="spellEnd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 indwelling catheters. These reactions have resulted in varying degrees of neurologic injuries including long-term or permanent paralysis (see section 4.4 Special warnings and precautions for use).</w:t>
            </w:r>
            <w:r w:rsidRPr="00E26424">
              <w:rPr>
                <w:rFonts w:ascii="Tahoma" w:hAnsi="Tahoma" w:cs="Tahoma"/>
                <w:color w:val="00B050"/>
                <w:sz w:val="20"/>
                <w:szCs w:val="20"/>
              </w:rPr>
              <w:t xml:space="preserve"> </w:t>
            </w:r>
          </w:p>
          <w:p w:rsidR="00E26424" w:rsidRDefault="00E26424" w:rsidP="00E26424">
            <w:pPr>
              <w:jc w:val="right"/>
              <w:rPr>
                <w:b/>
                <w:bCs/>
                <w:sz w:val="44"/>
                <w:szCs w:val="44"/>
              </w:rPr>
            </w:pPr>
            <w:r w:rsidRPr="00D63D9B">
              <w:rPr>
                <w:b/>
                <w:bCs/>
                <w:sz w:val="44"/>
                <w:szCs w:val="44"/>
              </w:rPr>
              <w:t>……..</w:t>
            </w:r>
          </w:p>
          <w:p w:rsidR="006046BA" w:rsidRDefault="006046BA" w:rsidP="00E26424">
            <w:pPr>
              <w:bidi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26424" w:rsidRPr="00E26424" w:rsidRDefault="00E26424" w:rsidP="006046BA">
            <w:pPr>
              <w:bidi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264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Thrombocytopenia and thrombocytosis </w:t>
            </w:r>
          </w:p>
          <w:p w:rsidR="00E26424" w:rsidRDefault="00E26424" w:rsidP="00E26424">
            <w:pPr>
              <w:jc w:val="right"/>
              <w:rPr>
                <w:b/>
                <w:bCs/>
                <w:sz w:val="44"/>
                <w:szCs w:val="44"/>
              </w:rPr>
            </w:pPr>
            <w:r w:rsidRPr="00D63D9B">
              <w:rPr>
                <w:b/>
                <w:bCs/>
                <w:sz w:val="44"/>
                <w:szCs w:val="44"/>
              </w:rPr>
              <w:t>……..</w:t>
            </w:r>
          </w:p>
          <w:p w:rsidR="00E26424" w:rsidRPr="00E26424" w:rsidRDefault="00E26424" w:rsidP="00E26424">
            <w:pPr>
              <w:bidi w:val="0"/>
              <w:jc w:val="both"/>
              <w:rPr>
                <w:rFonts w:ascii="Tahoma" w:hAnsi="Tahoma" w:cs="Tahoma"/>
                <w:strike/>
                <w:color w:val="00B050"/>
                <w:sz w:val="20"/>
                <w:szCs w:val="20"/>
              </w:rPr>
            </w:pPr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In addition, in post marketing experience: </w:t>
            </w:r>
          </w:p>
          <w:p w:rsidR="00E26424" w:rsidRDefault="00E26424" w:rsidP="00E26424">
            <w:pPr>
              <w:bidi w:val="0"/>
              <w:jc w:val="both"/>
              <w:rPr>
                <w:rFonts w:ascii="Tahoma" w:hAnsi="Tahoma" w:cs="Tahoma"/>
                <w:strike/>
                <w:color w:val="00B050"/>
                <w:sz w:val="20"/>
                <w:szCs w:val="20"/>
              </w:rPr>
            </w:pPr>
            <w:r w:rsidRPr="00E26424">
              <w:rPr>
                <w:rFonts w:ascii="Tahoma" w:hAnsi="Tahoma" w:cs="Tahoma"/>
                <w:b/>
                <w:bCs/>
                <w:strike/>
                <w:color w:val="00B050"/>
                <w:sz w:val="20"/>
                <w:szCs w:val="20"/>
              </w:rPr>
              <w:t>Rare</w:t>
            </w:r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: Cases of </w:t>
            </w:r>
            <w:proofErr w:type="spellStart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>immuno</w:t>
            </w:r>
            <w:proofErr w:type="spellEnd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-allergic thrombocytopenia with thrombosis; in some of them thrombosis was complicated by organ infarction or limb </w:t>
            </w:r>
            <w:proofErr w:type="spellStart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>ischaemia</w:t>
            </w:r>
            <w:proofErr w:type="spellEnd"/>
            <w:r w:rsidRPr="00E26424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 (see section 4.4 Special warnings and precautions for use: Monitoring). </w:t>
            </w:r>
          </w:p>
          <w:p w:rsidR="006046BA" w:rsidRPr="00E26424" w:rsidRDefault="006046BA" w:rsidP="006046BA">
            <w:pPr>
              <w:bidi w:val="0"/>
              <w:jc w:val="both"/>
              <w:rPr>
                <w:rFonts w:ascii="Tahoma" w:hAnsi="Tahoma" w:cs="Tahoma"/>
                <w:strike/>
                <w:color w:val="00B050"/>
                <w:sz w:val="20"/>
                <w:szCs w:val="20"/>
              </w:rPr>
            </w:pPr>
          </w:p>
          <w:p w:rsidR="006E0DBE" w:rsidRPr="006E0DBE" w:rsidRDefault="006E0DBE" w:rsidP="006E0DBE">
            <w:pPr>
              <w:bidi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E0D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Other clinically relevant adverse reactions </w:t>
            </w:r>
          </w:p>
          <w:p w:rsidR="006E0DBE" w:rsidRPr="006E0DBE" w:rsidRDefault="006E0DBE" w:rsidP="006E0DBE">
            <w:pPr>
              <w:bidi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E0DBE" w:rsidRPr="006E0DBE" w:rsidRDefault="006E0DBE" w:rsidP="006E0DBE">
            <w:pPr>
              <w:bidi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0DBE">
              <w:rPr>
                <w:rFonts w:ascii="Tahoma" w:hAnsi="Tahoma" w:cs="Tahoma"/>
                <w:sz w:val="20"/>
                <w:szCs w:val="20"/>
              </w:rPr>
              <w:t xml:space="preserve">These reactions are presented below, whatever the indications, by system organ class, frequency grouping and decreasing order of seriousness. </w:t>
            </w:r>
          </w:p>
          <w:p w:rsidR="006E0DBE" w:rsidRPr="006E0DBE" w:rsidRDefault="006E0DBE" w:rsidP="006E0DBE">
            <w:pPr>
              <w:bidi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71"/>
              <w:gridCol w:w="4131"/>
            </w:tblGrid>
            <w:tr w:rsidR="006E0DBE" w:rsidRPr="006E0DBE" w:rsidTr="00E42D97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MedDRA</w:t>
                  </w:r>
                  <w:proofErr w:type="spellEnd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 system organ class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All indications </w:t>
                  </w:r>
                </w:p>
              </w:tc>
            </w:tr>
            <w:tr w:rsidR="006E0DBE" w:rsidRPr="006E0DBE" w:rsidTr="00E42D97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Immune system disorders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Common: </w:t>
                  </w:r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Allergic reaction </w:t>
                  </w:r>
                </w:p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Rare: </w:t>
                  </w:r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Anaphylactic / </w:t>
                  </w:r>
                  <w:proofErr w:type="spellStart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anaphylactoid</w:t>
                  </w:r>
                  <w:proofErr w:type="spellEnd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 reaction </w:t>
                  </w:r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yellow"/>
                      <w:u w:val="single"/>
                      <w:lang w:eastAsia="en-US"/>
                    </w:rPr>
                    <w:t xml:space="preserve">(see  also  </w:t>
                  </w:r>
                  <w:proofErr w:type="spellStart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yellow"/>
                      <w:u w:val="single"/>
                      <w:lang w:eastAsia="en-US"/>
                    </w:rPr>
                    <w:t>Postmarketing</w:t>
                  </w:r>
                  <w:proofErr w:type="spellEnd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yellow"/>
                      <w:u w:val="single"/>
                      <w:lang w:eastAsia="en-US"/>
                    </w:rPr>
                    <w:t xml:space="preserve"> experience)</w:t>
                  </w:r>
                </w:p>
              </w:tc>
            </w:tr>
            <w:tr w:rsidR="006E0DBE" w:rsidRPr="006E0DBE" w:rsidTr="00E42D97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Hepatobilary</w:t>
                  </w:r>
                  <w:proofErr w:type="spellEnd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 disorders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Very common: </w:t>
                  </w:r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Hepatic enzymes increase (mainly transaminases **) </w:t>
                  </w:r>
                </w:p>
              </w:tc>
            </w:tr>
            <w:tr w:rsidR="006E0DBE" w:rsidRPr="006E0DBE" w:rsidTr="00E42D97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Skin and subcutaneous tissue disorders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Common: </w:t>
                  </w:r>
                  <w:proofErr w:type="spellStart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Urticaria</w:t>
                  </w:r>
                  <w:proofErr w:type="spellEnd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, pruritus, erythema, </w:t>
                  </w:r>
                </w:p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Uncommon: </w:t>
                  </w:r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Bullous dermatitis </w:t>
                  </w:r>
                </w:p>
              </w:tc>
            </w:tr>
            <w:tr w:rsidR="006E0DBE" w:rsidRPr="006E0DBE" w:rsidTr="00E42D97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General disorders and administration site conditions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Common: </w:t>
                  </w:r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Injection site </w:t>
                  </w:r>
                  <w:proofErr w:type="spellStart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haematoma</w:t>
                  </w:r>
                  <w:proofErr w:type="spellEnd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, injection site pain, other injection site reaction* </w:t>
                  </w:r>
                </w:p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Uncommon: </w:t>
                  </w:r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Local irritation; skin necrosis at injection site </w:t>
                  </w:r>
                </w:p>
              </w:tc>
            </w:tr>
            <w:tr w:rsidR="006E0DBE" w:rsidRPr="006E0DBE" w:rsidTr="00E42D97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Investigations 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0DBE" w:rsidRPr="006E0DBE" w:rsidRDefault="006E0DBE" w:rsidP="006E0DBE">
                  <w:pPr>
                    <w:bidi w:val="0"/>
                    <w:spacing w:before="100" w:beforeAutospacing="1" w:after="75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6E0DBE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Rare: </w:t>
                  </w:r>
                  <w:proofErr w:type="spellStart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Hyperkaliemia</w:t>
                  </w:r>
                  <w:proofErr w:type="spellEnd"/>
                  <w:r w:rsidRPr="006E0DB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</w:tr>
          </w:tbl>
          <w:p w:rsidR="006E0DBE" w:rsidRPr="006E0DBE" w:rsidRDefault="006E0DBE" w:rsidP="006E0DBE">
            <w:pPr>
              <w:bidi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0DBE">
              <w:rPr>
                <w:rFonts w:ascii="Tahoma" w:hAnsi="Tahoma" w:cs="Tahoma"/>
                <w:sz w:val="20"/>
                <w:szCs w:val="20"/>
              </w:rPr>
              <w:t xml:space="preserve">*: such as injection site </w:t>
            </w:r>
            <w:proofErr w:type="spellStart"/>
            <w:r w:rsidRPr="006E0DBE">
              <w:rPr>
                <w:rFonts w:ascii="Tahoma" w:hAnsi="Tahoma" w:cs="Tahoma"/>
                <w:sz w:val="20"/>
                <w:szCs w:val="20"/>
              </w:rPr>
              <w:t>oedema</w:t>
            </w:r>
            <w:proofErr w:type="spellEnd"/>
            <w:r w:rsidRPr="006E0DB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E0DBE">
              <w:rPr>
                <w:rFonts w:ascii="Tahoma" w:hAnsi="Tahoma" w:cs="Tahoma"/>
                <w:sz w:val="20"/>
                <w:szCs w:val="20"/>
              </w:rPr>
              <w:t>haemorrhage</w:t>
            </w:r>
            <w:proofErr w:type="spellEnd"/>
            <w:r w:rsidRPr="006E0DBE">
              <w:rPr>
                <w:rFonts w:ascii="Tahoma" w:hAnsi="Tahoma" w:cs="Tahoma"/>
                <w:sz w:val="20"/>
                <w:szCs w:val="20"/>
              </w:rPr>
              <w:t>, hypersensitivity, inflammation, mass, pain, or reaction (NOS)</w:t>
            </w:r>
          </w:p>
          <w:p w:rsidR="006E0DBE" w:rsidRPr="006E0DBE" w:rsidRDefault="006E0DBE" w:rsidP="006E0DBE">
            <w:pPr>
              <w:bidi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0DB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E0DBE" w:rsidRDefault="006E0DBE" w:rsidP="006E0DBE">
            <w:pPr>
              <w:bidi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0DBE">
              <w:rPr>
                <w:rFonts w:ascii="Tahoma" w:hAnsi="Tahoma" w:cs="Tahoma"/>
                <w:sz w:val="20"/>
                <w:szCs w:val="20"/>
              </w:rPr>
              <w:t xml:space="preserve">**: transaminases levels &gt; 3 times the upper limit of normality </w:t>
            </w:r>
          </w:p>
          <w:p w:rsidR="00DF6CDE" w:rsidRPr="006E0DBE" w:rsidRDefault="00DF6CDE" w:rsidP="00DF6CDE">
            <w:pPr>
              <w:bidi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B2533" w:rsidRPr="007B2533" w:rsidRDefault="007B2533" w:rsidP="007B2533">
            <w:pPr>
              <w:bidi w:val="0"/>
              <w:jc w:val="both"/>
              <w:rPr>
                <w:rFonts w:ascii="Tahoma" w:hAnsi="Tahoma" w:cs="Tahoma"/>
                <w:b/>
                <w:bCs/>
                <w:strike/>
                <w:color w:val="00B050"/>
                <w:sz w:val="20"/>
                <w:szCs w:val="20"/>
              </w:rPr>
            </w:pPr>
            <w:r w:rsidRPr="007B2533">
              <w:rPr>
                <w:rFonts w:ascii="Tahoma" w:hAnsi="Tahoma" w:cs="Tahoma"/>
                <w:b/>
                <w:bCs/>
                <w:strike/>
                <w:color w:val="00B050"/>
                <w:sz w:val="20"/>
                <w:szCs w:val="20"/>
              </w:rPr>
              <w:t xml:space="preserve">In addition, in post marketing experience: </w:t>
            </w:r>
          </w:p>
          <w:p w:rsidR="007B2533" w:rsidRPr="007B2533" w:rsidRDefault="007B2533" w:rsidP="007B2533">
            <w:pPr>
              <w:bidi w:val="0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B2533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Pr="007B2533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>Skin and subcutaneous disorders</w:t>
            </w:r>
            <w:r w:rsidRPr="007B2533">
              <w:rPr>
                <w:rFonts w:ascii="Tahoma" w:hAnsi="Tahoma" w:cs="Tahoma"/>
                <w:color w:val="00B050"/>
                <w:sz w:val="20"/>
                <w:szCs w:val="20"/>
              </w:rPr>
              <w:t xml:space="preserve"> </w:t>
            </w:r>
          </w:p>
          <w:p w:rsidR="007B2533" w:rsidRPr="007B2533" w:rsidRDefault="007B2533" w:rsidP="007B2533">
            <w:pPr>
              <w:bidi w:val="0"/>
              <w:jc w:val="both"/>
              <w:rPr>
                <w:rFonts w:ascii="Tahoma" w:hAnsi="Tahoma" w:cs="Tahoma"/>
                <w:b/>
                <w:bCs/>
                <w:strike/>
                <w:color w:val="00B050"/>
                <w:sz w:val="20"/>
                <w:szCs w:val="20"/>
              </w:rPr>
            </w:pPr>
            <w:r w:rsidRPr="007B2533">
              <w:rPr>
                <w:rFonts w:ascii="Tahoma" w:hAnsi="Tahoma" w:cs="Tahoma"/>
                <w:b/>
                <w:bCs/>
                <w:strike/>
                <w:color w:val="00B050"/>
                <w:sz w:val="20"/>
                <w:szCs w:val="20"/>
              </w:rPr>
              <w:t>Rare:</w:t>
            </w:r>
          </w:p>
          <w:p w:rsidR="007B2533" w:rsidRPr="007B2533" w:rsidRDefault="007B2533" w:rsidP="007B2533">
            <w:pPr>
              <w:bidi w:val="0"/>
              <w:jc w:val="both"/>
              <w:rPr>
                <w:rFonts w:ascii="Tahoma" w:hAnsi="Tahoma" w:cs="Tahoma"/>
                <w:strike/>
                <w:color w:val="00B050"/>
                <w:sz w:val="20"/>
                <w:szCs w:val="20"/>
              </w:rPr>
            </w:pPr>
            <w:r w:rsidRPr="007B2533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- Cutaneous </w:t>
            </w:r>
            <w:proofErr w:type="spellStart"/>
            <w:r w:rsidRPr="007B2533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>vasculitis</w:t>
            </w:r>
            <w:proofErr w:type="spellEnd"/>
            <w:r w:rsidRPr="007B2533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, skin necrosis usually occurring at the injection site (these phenomena have been usually preceded by </w:t>
            </w:r>
            <w:proofErr w:type="spellStart"/>
            <w:r w:rsidRPr="007B2533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lastRenderedPageBreak/>
              <w:t>purpura</w:t>
            </w:r>
            <w:proofErr w:type="spellEnd"/>
            <w:r w:rsidRPr="007B2533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 or erythematous plaques, infiltrated and painful). Treatment with enoxaparin sodium must be discontinued. </w:t>
            </w:r>
          </w:p>
          <w:p w:rsidR="007B2533" w:rsidRPr="007B2533" w:rsidRDefault="007B2533" w:rsidP="007B2533">
            <w:pPr>
              <w:bidi w:val="0"/>
              <w:jc w:val="both"/>
              <w:rPr>
                <w:rFonts w:ascii="Tahoma" w:hAnsi="Tahoma" w:cs="Tahoma"/>
                <w:strike/>
                <w:color w:val="00B050"/>
                <w:sz w:val="20"/>
                <w:szCs w:val="20"/>
              </w:rPr>
            </w:pPr>
            <w:r w:rsidRPr="007B2533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- Injection site nodules (inflammatory nodules, which were not cystic enclosure of enoxaparin). They resolve after a few days and should not cause treatment discontinuation. </w:t>
            </w:r>
          </w:p>
          <w:p w:rsidR="007B2533" w:rsidRPr="007B2533" w:rsidRDefault="007B2533" w:rsidP="007B2533">
            <w:pPr>
              <w:bidi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B2533" w:rsidRPr="007B2533" w:rsidRDefault="007B2533" w:rsidP="007B253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highlight w:val="magenta"/>
                <w:lang w:eastAsia="en-US"/>
              </w:rPr>
            </w:pPr>
            <w:r w:rsidRPr="007B2533">
              <w:rPr>
                <w:rFonts w:ascii="Tahoma" w:hAnsi="Tahoma" w:cs="Tahoma" w:hint="cs"/>
                <w:sz w:val="20"/>
                <w:szCs w:val="20"/>
                <w:highlight w:val="magenta"/>
                <w:rtl/>
              </w:rPr>
              <w:t xml:space="preserve">הועבר לסוף סעיף </w:t>
            </w:r>
            <w:r w:rsidRPr="007B2533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highlight w:val="magenta"/>
                <w:lang w:eastAsia="en-US"/>
              </w:rPr>
              <w:t>Post marketing experience</w:t>
            </w:r>
            <w:r w:rsidRPr="007B2533">
              <w:rPr>
                <w:rFonts w:ascii="TimesNewRomanPS-BoldMT" w:hAnsi="TimesNewRomanPS-BoldMT" w:cs="TimesNewRomanPS-BoldMT" w:hint="cs"/>
                <w:b/>
                <w:bCs/>
                <w:sz w:val="22"/>
                <w:szCs w:val="22"/>
                <w:highlight w:val="magenta"/>
                <w:rtl/>
                <w:lang w:eastAsia="en-US"/>
              </w:rPr>
              <w:t>:</w:t>
            </w:r>
          </w:p>
          <w:p w:rsidR="007B2533" w:rsidRPr="007B2533" w:rsidRDefault="007B2533" w:rsidP="007B2533">
            <w:pPr>
              <w:bidi w:val="0"/>
              <w:rPr>
                <w:rFonts w:ascii="Tahoma" w:hAnsi="Tahoma" w:cs="Tahoma"/>
                <w:strike/>
                <w:sz w:val="20"/>
                <w:szCs w:val="20"/>
              </w:rPr>
            </w:pPr>
            <w:r w:rsidRPr="007B2533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7B2533">
              <w:rPr>
                <w:rFonts w:ascii="Tahoma" w:hAnsi="Tahoma" w:cs="Tahoma"/>
                <w:strike/>
                <w:sz w:val="20"/>
                <w:szCs w:val="20"/>
              </w:rPr>
              <w:t xml:space="preserve">Valve thrombosis in patients with prosthetic heart valves have been reported rarely, usually associated with inadequate dosing (see section 4.4 Special warnings and precautions for use). </w:t>
            </w:r>
          </w:p>
          <w:p w:rsidR="007B2533" w:rsidRPr="007B2533" w:rsidRDefault="007B2533" w:rsidP="007B2533">
            <w:pPr>
              <w:bidi w:val="0"/>
              <w:jc w:val="both"/>
              <w:rPr>
                <w:rFonts w:ascii="Tahoma" w:hAnsi="Tahoma" w:cs="Tahoma"/>
                <w:strike/>
                <w:color w:val="00B050"/>
                <w:sz w:val="20"/>
                <w:szCs w:val="20"/>
              </w:rPr>
            </w:pPr>
            <w:r w:rsidRPr="007B2533">
              <w:rPr>
                <w:rFonts w:ascii="Tahoma" w:hAnsi="Tahoma" w:cs="Tahoma"/>
                <w:strike/>
                <w:color w:val="00B050"/>
                <w:sz w:val="20"/>
                <w:szCs w:val="20"/>
              </w:rPr>
              <w:t xml:space="preserve">Long term treatment with heparin has been associated with a risk of osteoporosis. Although this has not been observed with enoxaparin the risk of osteoporosis cannot be excluded. </w:t>
            </w:r>
          </w:p>
          <w:p w:rsidR="007B2533" w:rsidRPr="007B2533" w:rsidRDefault="007B2533" w:rsidP="007B2533">
            <w:pPr>
              <w:bidi w:val="0"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7B2533" w:rsidRPr="007B2533" w:rsidRDefault="007B2533" w:rsidP="007B253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highlight w:val="magenta"/>
                <w:lang w:eastAsia="en-US"/>
              </w:rPr>
            </w:pPr>
            <w:r w:rsidRPr="007B2533">
              <w:rPr>
                <w:rFonts w:ascii="Tahoma" w:hAnsi="Tahoma" w:cs="Tahoma" w:hint="cs"/>
                <w:sz w:val="20"/>
                <w:szCs w:val="20"/>
                <w:highlight w:val="magenta"/>
                <w:rtl/>
              </w:rPr>
              <w:t xml:space="preserve">הועבר לסוף סעיף </w:t>
            </w:r>
            <w:r w:rsidRPr="007B2533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highlight w:val="magenta"/>
                <w:lang w:eastAsia="en-US"/>
              </w:rPr>
              <w:t>Post marketing experience</w:t>
            </w:r>
            <w:r w:rsidRPr="007B2533">
              <w:rPr>
                <w:rFonts w:ascii="TimesNewRomanPS-BoldMT" w:hAnsi="TimesNewRomanPS-BoldMT" w:cs="TimesNewRomanPS-BoldMT" w:hint="cs"/>
                <w:b/>
                <w:bCs/>
                <w:sz w:val="22"/>
                <w:szCs w:val="22"/>
                <w:highlight w:val="magenta"/>
                <w:rtl/>
                <w:lang w:eastAsia="en-US"/>
              </w:rPr>
              <w:t>:</w:t>
            </w:r>
          </w:p>
          <w:p w:rsidR="007B2533" w:rsidRPr="007B2533" w:rsidRDefault="007B2533" w:rsidP="007B2533">
            <w:pPr>
              <w:bidi w:val="0"/>
              <w:jc w:val="both"/>
              <w:rPr>
                <w:rFonts w:ascii="Tahoma" w:hAnsi="Tahoma" w:cs="Tahoma"/>
                <w:strike/>
                <w:sz w:val="20"/>
                <w:szCs w:val="20"/>
              </w:rPr>
            </w:pPr>
            <w:r w:rsidRPr="007B2533">
              <w:rPr>
                <w:rFonts w:ascii="Tahoma" w:hAnsi="Tahoma" w:cs="Tahoma"/>
                <w:strike/>
                <w:sz w:val="20"/>
                <w:szCs w:val="20"/>
              </w:rPr>
              <w:t xml:space="preserve">Heparin products can cause </w:t>
            </w:r>
            <w:proofErr w:type="spellStart"/>
            <w:r w:rsidRPr="007B2533">
              <w:rPr>
                <w:rFonts w:ascii="Tahoma" w:hAnsi="Tahoma" w:cs="Tahoma"/>
                <w:strike/>
                <w:sz w:val="20"/>
                <w:szCs w:val="20"/>
              </w:rPr>
              <w:t>hypoaldosteronism</w:t>
            </w:r>
            <w:proofErr w:type="spellEnd"/>
            <w:r w:rsidRPr="007B2533">
              <w:rPr>
                <w:rFonts w:ascii="Tahoma" w:hAnsi="Tahoma" w:cs="Tahoma"/>
                <w:strike/>
                <w:sz w:val="20"/>
                <w:szCs w:val="20"/>
              </w:rPr>
              <w:t xml:space="preserve"> which may result in an increase in plasma potassium. Rarely, clinically significant </w:t>
            </w:r>
            <w:proofErr w:type="spellStart"/>
            <w:r w:rsidRPr="007B2533">
              <w:rPr>
                <w:rFonts w:ascii="Tahoma" w:hAnsi="Tahoma" w:cs="Tahoma"/>
                <w:strike/>
                <w:sz w:val="20"/>
                <w:szCs w:val="20"/>
              </w:rPr>
              <w:t>hyperkalaemia</w:t>
            </w:r>
            <w:proofErr w:type="spellEnd"/>
            <w:r w:rsidRPr="007B2533">
              <w:rPr>
                <w:rFonts w:ascii="Tahoma" w:hAnsi="Tahoma" w:cs="Tahoma"/>
                <w:strike/>
                <w:sz w:val="20"/>
                <w:szCs w:val="20"/>
              </w:rPr>
              <w:t xml:space="preserve"> may occur particularly in patients with chronic renal failure and diabetes mellitus (see section 4.4 Special warnings and precautions for use).</w:t>
            </w:r>
          </w:p>
          <w:p w:rsidR="007B2533" w:rsidRDefault="007B2533" w:rsidP="00A25BE3">
            <w:pPr>
              <w:jc w:val="right"/>
              <w:rPr>
                <w:b/>
                <w:bCs/>
              </w:rPr>
            </w:pP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highlight w:val="green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highlight w:val="green"/>
                <w:lang w:eastAsia="en-US"/>
              </w:rPr>
              <w:t>Post marketing experience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highlight w:val="green"/>
                <w:lang w:eastAsia="en-US"/>
              </w:rPr>
            </w:pP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MT" w:hAnsi="TimesNewRomanPSMT" w:cs="TimesNewRomanPSMT"/>
                <w:sz w:val="22"/>
                <w:szCs w:val="22"/>
                <w:highlight w:val="yellow"/>
                <w:lang w:eastAsia="en-US"/>
              </w:rPr>
            </w:pPr>
            <w:r w:rsidRPr="006E0DBE">
              <w:rPr>
                <w:rFonts w:ascii="TimesNewRomanPSMT" w:hAnsi="TimesNewRomanPSMT" w:cs="TimesNewRomanPSMT"/>
                <w:sz w:val="22"/>
                <w:szCs w:val="22"/>
                <w:highlight w:val="yellow"/>
                <w:lang w:eastAsia="en-US"/>
              </w:rPr>
              <w:t>The following adverse reactions have been identified during post-approval use.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MT" w:hAnsi="TimesNewRomanPSMT" w:cs="TimesNewRomanPSMT"/>
                <w:sz w:val="22"/>
                <w:szCs w:val="22"/>
                <w:highlight w:val="yellow"/>
                <w:lang w:eastAsia="en-US"/>
              </w:rPr>
            </w:pPr>
            <w:r w:rsidRPr="006E0DBE">
              <w:rPr>
                <w:rFonts w:ascii="TimesNewRomanPSMT" w:hAnsi="TimesNewRomanPSMT" w:cs="TimesNewRomanPSMT"/>
                <w:sz w:val="22"/>
                <w:szCs w:val="22"/>
                <w:highlight w:val="yellow"/>
                <w:lang w:eastAsia="en-US"/>
              </w:rPr>
              <w:t>The adverse reactions are derived from spontaneous reports and therefore, the frequency is “not known” (cannot be estimated from the available data).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MT" w:hAnsi="TimesNewRomanPSMT" w:cs="TimesNewRomanPSMT"/>
                <w:sz w:val="22"/>
                <w:szCs w:val="22"/>
                <w:highlight w:val="yellow"/>
                <w:lang w:eastAsia="en-US"/>
              </w:rPr>
            </w:pPr>
          </w:p>
          <w:p w:rsidR="006E0DBE" w:rsidRPr="006E0DBE" w:rsidRDefault="006E0DBE" w:rsidP="006E0DBE">
            <w:pPr>
              <w:numPr>
                <w:ilvl w:val="0"/>
                <w:numId w:val="20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6E0DBE"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yellow"/>
                <w:lang w:eastAsia="en-US"/>
              </w:rPr>
              <w:t>Immune System Disorders</w:t>
            </w:r>
          </w:p>
          <w:p w:rsidR="006E0DBE" w:rsidRPr="006E0DBE" w:rsidRDefault="006E0DBE" w:rsidP="006E0DBE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  <w:t xml:space="preserve">Anaphylactic / </w:t>
            </w:r>
            <w:proofErr w:type="spellStart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  <w:t>anaphylactoid</w:t>
            </w:r>
            <w:proofErr w:type="spellEnd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  <w:t xml:space="preserve"> reaction including shock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</w:pPr>
          </w:p>
          <w:p w:rsidR="006E0DBE" w:rsidRPr="006E0DBE" w:rsidRDefault="006E0DBE" w:rsidP="006E0DBE">
            <w:pPr>
              <w:numPr>
                <w:ilvl w:val="0"/>
                <w:numId w:val="20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6E0DBE"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yellow"/>
                <w:lang w:eastAsia="en-US"/>
              </w:rPr>
              <w:t>Nervous System Disorders</w:t>
            </w:r>
          </w:p>
          <w:p w:rsidR="006E0DBE" w:rsidRPr="006E0DBE" w:rsidRDefault="006E0DBE" w:rsidP="006E0DBE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  <w:t>Headache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</w:pPr>
          </w:p>
          <w:p w:rsidR="006E0DBE" w:rsidRPr="006E0DBE" w:rsidRDefault="006E0DBE" w:rsidP="006E0DBE">
            <w:pPr>
              <w:numPr>
                <w:ilvl w:val="0"/>
                <w:numId w:val="20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green"/>
                <w:lang w:eastAsia="en-US"/>
              </w:rPr>
            </w:pPr>
            <w:r w:rsidRPr="006E0DBE"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green"/>
                <w:lang w:eastAsia="en-US"/>
              </w:rPr>
              <w:t>Vascular Disorders</w:t>
            </w:r>
          </w:p>
          <w:p w:rsidR="006E0DBE" w:rsidRPr="006E0DBE" w:rsidRDefault="006E0DBE" w:rsidP="006E0DBE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 xml:space="preserve">Cases of spinal </w:t>
            </w:r>
            <w:proofErr w:type="spellStart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>haematoma</w:t>
            </w:r>
            <w:proofErr w:type="spellEnd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 xml:space="preserve"> (</w:t>
            </w:r>
            <w:r w:rsidRPr="006E0DBE">
              <w:rPr>
                <w:rFonts w:ascii="TimesNewRomanPSMT" w:hAnsi="TimesNewRomanPSMT" w:cs="TimesNewRomanPSMT"/>
                <w:sz w:val="22"/>
                <w:szCs w:val="22"/>
                <w:highlight w:val="green"/>
                <w:lang w:eastAsia="en-US"/>
              </w:rPr>
              <w:t xml:space="preserve">or </w:t>
            </w:r>
            <w:proofErr w:type="spellStart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>neuraxial</w:t>
            </w:r>
            <w:proofErr w:type="spellEnd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 xml:space="preserve"> </w:t>
            </w:r>
            <w:proofErr w:type="spellStart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>haematoma</w:t>
            </w:r>
            <w:proofErr w:type="spellEnd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 xml:space="preserve">) have been reported with the concurrent use of enoxaparin sodium as well as spinal/epidural </w:t>
            </w:r>
            <w:proofErr w:type="spellStart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>anaesthesia</w:t>
            </w:r>
            <w:proofErr w:type="spellEnd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 xml:space="preserve"> or spinal puncture. These reactions have resulted in varying degrees of neurologic injuries including long-term or permanent paralysis </w:t>
            </w:r>
            <w:r w:rsidRPr="006E0DBE">
              <w:rPr>
                <w:rFonts w:ascii="TimesNewRomanPSMT" w:hAnsi="TimesNewRomanPSMT" w:cs="TimesNewRomanPSMT"/>
                <w:sz w:val="22"/>
                <w:szCs w:val="22"/>
                <w:highlight w:val="green"/>
                <w:lang w:eastAsia="en-US"/>
              </w:rPr>
              <w:t>(see Section 5: Spinal/epidural anesthesia).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</w:pPr>
          </w:p>
          <w:p w:rsidR="006E0DBE" w:rsidRPr="006E0DBE" w:rsidRDefault="006E0DBE" w:rsidP="006E0DBE">
            <w:pPr>
              <w:numPr>
                <w:ilvl w:val="0"/>
                <w:numId w:val="20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  <w:highlight w:val="green"/>
                <w:lang w:eastAsia="en-US"/>
              </w:rPr>
            </w:pPr>
            <w:r w:rsidRPr="006E0DBE"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green"/>
                <w:lang w:eastAsia="en-US"/>
              </w:rPr>
              <w:t>Blood and Lymphatic System Disorders</w:t>
            </w:r>
            <w:r w:rsidRPr="006E0DBE"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  <w:highlight w:val="green"/>
                <w:lang w:eastAsia="en-US"/>
              </w:rPr>
              <w:t>:</w:t>
            </w:r>
          </w:p>
          <w:p w:rsidR="006E0DBE" w:rsidRPr="006E0DBE" w:rsidRDefault="006E0DBE" w:rsidP="006E0DBE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  <w:t>Haemorrhagic</w:t>
            </w:r>
            <w:proofErr w:type="spellEnd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  <w:t xml:space="preserve"> anemia</w:t>
            </w:r>
          </w:p>
          <w:p w:rsidR="006E0DBE" w:rsidRPr="006E0DBE" w:rsidRDefault="006E0DBE" w:rsidP="006E0DBE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 xml:space="preserve">Cases of </w:t>
            </w:r>
            <w:proofErr w:type="spellStart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>immuno</w:t>
            </w:r>
            <w:proofErr w:type="spellEnd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 xml:space="preserve">-allergic thrombocytopenia with thrombosis; in some of them thrombosis was complicated by organ infarction or limb </w:t>
            </w:r>
            <w:proofErr w:type="spellStart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>ischaemia</w:t>
            </w:r>
            <w:proofErr w:type="spellEnd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 xml:space="preserve"> </w:t>
            </w:r>
            <w:r w:rsidRPr="006E0DBE">
              <w:rPr>
                <w:rFonts w:ascii="TimesNewRomanPSMT" w:hAnsi="TimesNewRomanPSMT" w:cs="TimesNewRomanPSMT"/>
                <w:sz w:val="22"/>
                <w:szCs w:val="22"/>
                <w:highlight w:val="green"/>
                <w:lang w:eastAsia="en-US"/>
              </w:rPr>
              <w:t>(see Section 6: Monitoring</w:t>
            </w:r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green"/>
                <w:lang w:eastAsia="en-US"/>
              </w:rPr>
              <w:t xml:space="preserve"> </w:t>
            </w:r>
            <w:r w:rsidRPr="006E0DBE">
              <w:rPr>
                <w:rFonts w:ascii="TimesNewRomanPSMT" w:hAnsi="TimesNewRomanPSMT" w:cs="TimesNewRomanPSMT"/>
                <w:sz w:val="22"/>
                <w:szCs w:val="22"/>
                <w:highlight w:val="green"/>
                <w:lang w:eastAsia="en-US"/>
              </w:rPr>
              <w:t>of platelet counts).</w:t>
            </w:r>
          </w:p>
          <w:p w:rsidR="006E0DBE" w:rsidRPr="006E0DBE" w:rsidRDefault="006E0DBE" w:rsidP="006E0DBE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  <w:t>Eosinophilia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</w:pPr>
          </w:p>
          <w:p w:rsidR="006E0DBE" w:rsidRPr="006E0DBE" w:rsidRDefault="006E0DBE" w:rsidP="006E0DBE">
            <w:pPr>
              <w:numPr>
                <w:ilvl w:val="0"/>
                <w:numId w:val="17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MT" w:hAnsi="TimesNewRomanPSMT" w:cs="TimesNewRomanPSMT"/>
                <w:b/>
                <w:bCs/>
                <w:sz w:val="22"/>
                <w:szCs w:val="22"/>
                <w:lang w:eastAsia="en-US"/>
              </w:rPr>
            </w:pPr>
            <w:r w:rsidRPr="006E0DBE"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green"/>
                <w:lang w:eastAsia="en-US"/>
              </w:rPr>
              <w:t>Skin and subcutaneous disorders</w:t>
            </w:r>
          </w:p>
          <w:p w:rsidR="006E0DBE" w:rsidRPr="006E0DBE" w:rsidRDefault="006E0DBE" w:rsidP="006E0DBE">
            <w:pPr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  <w:t xml:space="preserve">Cutaneous </w:t>
            </w:r>
            <w:proofErr w:type="spellStart"/>
            <w:r w:rsidRPr="006E0DBE"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  <w:t>vasculitis</w:t>
            </w:r>
            <w:proofErr w:type="spellEnd"/>
            <w:r w:rsidRPr="006E0DBE">
              <w:rPr>
                <w:rFonts w:ascii="TimesNewRomanPSMT" w:hAnsi="TimesNewRomanPSMT" w:cs="TimesNewRomanPSMT"/>
                <w:color w:val="000000"/>
                <w:sz w:val="22"/>
                <w:szCs w:val="22"/>
                <w:highlight w:val="green"/>
                <w:lang w:eastAsia="en-US"/>
              </w:rPr>
              <w:t xml:space="preserve">, </w:t>
            </w:r>
            <w:r w:rsidRPr="006E0DBE"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  <w:t xml:space="preserve">skin necrosis usually occurring at the injection site (these phenomena have been </w:t>
            </w:r>
            <w:r w:rsidRPr="006E0DBE"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  <w:lastRenderedPageBreak/>
              <w:t xml:space="preserve">usually preceded by </w:t>
            </w:r>
            <w:proofErr w:type="spellStart"/>
            <w:r w:rsidRPr="006E0DBE"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  <w:t>purpura</w:t>
            </w:r>
            <w:proofErr w:type="spellEnd"/>
            <w:r w:rsidRPr="006E0DBE"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  <w:t xml:space="preserve"> or erythematous plaques, infiltrated and painful).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  <w:t xml:space="preserve">                   Treatment with enoxaparin sodium must be discontinued.</w:t>
            </w:r>
          </w:p>
          <w:p w:rsidR="006E0DBE" w:rsidRPr="006E0DBE" w:rsidRDefault="006E0DBE" w:rsidP="006E0DBE">
            <w:pPr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  <w:t xml:space="preserve">Injection site nodules (inflammatory nodules, which were not cystic enclosure of 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  <w:t xml:space="preserve">                    </w:t>
            </w:r>
            <w:proofErr w:type="gramStart"/>
            <w:r w:rsidRPr="006E0DBE"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  <w:t>enoxaparin</w:t>
            </w:r>
            <w:proofErr w:type="gramEnd"/>
            <w:r w:rsidRPr="006E0DBE"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  <w:t>).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MT" w:hAnsi="TimesNewRomanPSMT" w:cs="TimesNewRomanPSMT"/>
                <w:color w:val="000000"/>
                <w:sz w:val="22"/>
                <w:szCs w:val="22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color w:val="000000"/>
                <w:sz w:val="22"/>
                <w:szCs w:val="22"/>
                <w:highlight w:val="green"/>
                <w:lang w:eastAsia="en-US"/>
              </w:rPr>
              <w:t xml:space="preserve">                    </w:t>
            </w:r>
            <w:r w:rsidRPr="006E0DBE">
              <w:rPr>
                <w:rFonts w:ascii="TimesNewRomanPSMT" w:hAnsi="TimesNewRomanPSMT" w:cs="TimesNewRomanPSMT"/>
                <w:color w:val="000000"/>
                <w:sz w:val="22"/>
                <w:szCs w:val="22"/>
                <w:highlight w:val="green"/>
                <w:lang w:eastAsia="en-US"/>
              </w:rPr>
              <w:t>They resolve after a few days and should not cause treatment discontinuation.</w:t>
            </w:r>
          </w:p>
          <w:p w:rsidR="006E0DBE" w:rsidRPr="006E0DBE" w:rsidRDefault="006E0DBE" w:rsidP="006E0DBE">
            <w:pPr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highlight w:val="yellow"/>
                <w:lang w:eastAsia="en-US"/>
              </w:rPr>
              <w:t>Alopecia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  <w:p w:rsidR="006E0DBE" w:rsidRPr="006E0DBE" w:rsidRDefault="006E0DBE" w:rsidP="006E0DBE">
            <w:pPr>
              <w:numPr>
                <w:ilvl w:val="0"/>
                <w:numId w:val="19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6E0DBE"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yellow"/>
                <w:lang w:eastAsia="en-US"/>
              </w:rPr>
              <w:t>Hepatobilary</w:t>
            </w:r>
            <w:proofErr w:type="spellEnd"/>
            <w:r w:rsidRPr="006E0DBE"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yellow"/>
                <w:lang w:eastAsia="en-US"/>
              </w:rPr>
              <w:t xml:space="preserve"> disorders</w:t>
            </w:r>
          </w:p>
          <w:p w:rsidR="006E0DBE" w:rsidRPr="006E0DBE" w:rsidRDefault="006E0DBE" w:rsidP="006E0DBE">
            <w:pPr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  <w:t>Hepatocellular liver injury</w:t>
            </w:r>
          </w:p>
          <w:p w:rsidR="006E0DBE" w:rsidRPr="006E0DBE" w:rsidRDefault="006E0DBE" w:rsidP="006E0DBE">
            <w:pPr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  <w:t>Cholestatic</w:t>
            </w:r>
            <w:proofErr w:type="spellEnd"/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  <w:t xml:space="preserve"> liver injury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  <w:p w:rsidR="006E0DBE" w:rsidRPr="006E0DBE" w:rsidRDefault="006E0DBE" w:rsidP="006E0DBE">
            <w:pPr>
              <w:numPr>
                <w:ilvl w:val="0"/>
                <w:numId w:val="18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6E0DBE">
              <w:rPr>
                <w:rFonts w:ascii="TimesNewRomanPSMT" w:hAnsi="TimesNewRomanPSMT" w:cs="TimesNewRomanPSMT"/>
                <w:b/>
                <w:bCs/>
                <w:sz w:val="22"/>
                <w:szCs w:val="22"/>
                <w:highlight w:val="yellow"/>
                <w:lang w:eastAsia="en-US"/>
              </w:rPr>
              <w:t>Musculoskeletal and connective tissue disorders</w:t>
            </w:r>
          </w:p>
          <w:p w:rsidR="006E0DBE" w:rsidRPr="006E0DBE" w:rsidRDefault="006E0DBE" w:rsidP="006E0DBE">
            <w:pPr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contextualSpacing/>
              <w:rPr>
                <w:rFonts w:ascii="TimesNewRomanPS-BoldMT" w:hAnsi="TimesNewRomanPS-BoldMT" w:cs="TimesNewRomanPS-BoldMT"/>
                <w:sz w:val="22"/>
                <w:szCs w:val="22"/>
                <w:lang w:eastAsia="en-US"/>
              </w:rPr>
            </w:pPr>
            <w:r w:rsidRPr="006E0DBE">
              <w:rPr>
                <w:rFonts w:ascii="TimesNewRomanPS-BoldMT" w:hAnsi="TimesNewRomanPS-BoldMT" w:cs="TimesNewRomanPS-BoldMT"/>
                <w:sz w:val="22"/>
                <w:szCs w:val="22"/>
                <w:highlight w:val="yellow"/>
                <w:lang w:eastAsia="en-US"/>
              </w:rPr>
              <w:t>Osteoporosis following long-term therapy (greater than 3 months)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  <w:lang w:eastAsia="en-US"/>
              </w:rPr>
            </w:pPr>
          </w:p>
          <w:p w:rsidR="006E0DBE" w:rsidRPr="006E0DBE" w:rsidRDefault="006E0DBE" w:rsidP="006E0DBE">
            <w:pPr>
              <w:numPr>
                <w:ilvl w:val="0"/>
                <w:numId w:val="18"/>
              </w:numPr>
              <w:bidi w:val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0DBE">
              <w:rPr>
                <w:rFonts w:ascii="Tahoma" w:hAnsi="Tahoma" w:cs="Tahoma"/>
                <w:sz w:val="20"/>
                <w:szCs w:val="20"/>
                <w:highlight w:val="green"/>
              </w:rPr>
              <w:t>Valve thrombosis in patients with prosthetic heart valves have been reported rarely, usually associated with inadequate dosing (see section 4.4 Special warnings and precautions for use).</w:t>
            </w:r>
            <w:r w:rsidRPr="006E0DB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E0DBE" w:rsidRPr="006E0DBE" w:rsidRDefault="006E0DBE" w:rsidP="006E0DBE">
            <w:p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  <w:lang w:eastAsia="en-US"/>
              </w:rPr>
            </w:pPr>
          </w:p>
          <w:p w:rsidR="006E0DBE" w:rsidRPr="006E0DBE" w:rsidRDefault="006E0DBE" w:rsidP="006E0DBE">
            <w:pPr>
              <w:numPr>
                <w:ilvl w:val="0"/>
                <w:numId w:val="18"/>
              </w:numPr>
              <w:bidi w:val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0DBE">
              <w:rPr>
                <w:rFonts w:ascii="Tahoma" w:hAnsi="Tahoma" w:cs="Tahoma"/>
                <w:sz w:val="20"/>
                <w:szCs w:val="20"/>
                <w:highlight w:val="green"/>
              </w:rPr>
              <w:t xml:space="preserve">Heparin products can cause </w:t>
            </w:r>
            <w:proofErr w:type="spellStart"/>
            <w:r w:rsidRPr="006E0DBE">
              <w:rPr>
                <w:rFonts w:ascii="Tahoma" w:hAnsi="Tahoma" w:cs="Tahoma"/>
                <w:sz w:val="20"/>
                <w:szCs w:val="20"/>
                <w:highlight w:val="green"/>
              </w:rPr>
              <w:t>hypoaldosteronism</w:t>
            </w:r>
            <w:proofErr w:type="spellEnd"/>
            <w:r w:rsidRPr="006E0DBE">
              <w:rPr>
                <w:rFonts w:ascii="Tahoma" w:hAnsi="Tahoma" w:cs="Tahoma"/>
                <w:sz w:val="20"/>
                <w:szCs w:val="20"/>
                <w:highlight w:val="green"/>
              </w:rPr>
              <w:t xml:space="preserve"> which may result in an increase in plasma potassium. Rarely, clinically significant </w:t>
            </w:r>
            <w:proofErr w:type="spellStart"/>
            <w:r w:rsidRPr="006E0DBE">
              <w:rPr>
                <w:rFonts w:ascii="Tahoma" w:hAnsi="Tahoma" w:cs="Tahoma"/>
                <w:sz w:val="20"/>
                <w:szCs w:val="20"/>
                <w:highlight w:val="green"/>
              </w:rPr>
              <w:t>hyperkalaemia</w:t>
            </w:r>
            <w:proofErr w:type="spellEnd"/>
            <w:r w:rsidRPr="006E0DBE">
              <w:rPr>
                <w:rFonts w:ascii="Tahoma" w:hAnsi="Tahoma" w:cs="Tahoma"/>
                <w:sz w:val="20"/>
                <w:szCs w:val="20"/>
                <w:highlight w:val="green"/>
              </w:rPr>
              <w:t xml:space="preserve"> may occur particularly in patients with chronic renal failure and diabetes mellitus (see section 4.4 Special warnings and precautions for use).</w:t>
            </w:r>
          </w:p>
          <w:p w:rsidR="007326F0" w:rsidRDefault="007326F0" w:rsidP="00053308">
            <w:pPr>
              <w:pStyle w:val="a3"/>
              <w:pBdr>
                <w:bottom w:val="single" w:sz="12" w:space="1" w:color="auto"/>
              </w:pBdr>
              <w:ind w:left="432"/>
              <w:rPr>
                <w:rtl/>
              </w:rPr>
            </w:pPr>
          </w:p>
          <w:p w:rsidR="00667EA6" w:rsidRPr="0014475F" w:rsidRDefault="00667EA6" w:rsidP="00667EA6">
            <w:pPr>
              <w:numPr>
                <w:ilvl w:val="12"/>
                <w:numId w:val="0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3119"/>
                <w:tab w:val="left" w:pos="4536"/>
              </w:tabs>
              <w:bidi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475F">
              <w:rPr>
                <w:rFonts w:ascii="Tahoma" w:hAnsi="Tahoma" w:cs="Tahoma"/>
                <w:b/>
                <w:bCs/>
                <w:sz w:val="20"/>
                <w:szCs w:val="20"/>
              </w:rPr>
              <w:t>5.2</w:t>
            </w:r>
            <w:r w:rsidRPr="0014475F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>Pharmacokinetic properties</w:t>
            </w:r>
          </w:p>
          <w:p w:rsidR="00C9482E" w:rsidRPr="00C9482E" w:rsidRDefault="00C9482E" w:rsidP="00C9482E">
            <w:pPr>
              <w:numPr>
                <w:ilvl w:val="12"/>
                <w:numId w:val="0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3119"/>
                <w:tab w:val="left" w:pos="4536"/>
              </w:tabs>
              <w:bidi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82E">
              <w:rPr>
                <w:rFonts w:ascii="Tahoma" w:hAnsi="Tahoma" w:cs="Tahoma"/>
                <w:b/>
                <w:bCs/>
                <w:sz w:val="20"/>
                <w:szCs w:val="20"/>
              </w:rPr>
              <w:t>…………………….</w:t>
            </w:r>
          </w:p>
          <w:p w:rsidR="008647BB" w:rsidRPr="008647BB" w:rsidRDefault="008647BB" w:rsidP="008647BB">
            <w:pPr>
              <w:autoSpaceDE w:val="0"/>
              <w:autoSpaceDN w:val="0"/>
              <w:bidi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  <w:highlight w:val="yellow"/>
                <w:lang w:eastAsia="en-US"/>
              </w:rPr>
            </w:pPr>
            <w:r w:rsidRPr="008647BB"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  <w:u w:val="single"/>
              </w:rPr>
              <w:t>Weight</w:t>
            </w:r>
            <w:r w:rsidRPr="008647BB">
              <w:rPr>
                <w:rFonts w:ascii="Tahoma" w:hAnsi="Tahoma" w:cs="Tahoma"/>
                <w:i/>
                <w:iCs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  <w:p w:rsidR="008647BB" w:rsidRPr="008647BB" w:rsidRDefault="008647BB" w:rsidP="008647BB">
            <w:pPr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  <w:p w:rsidR="008647BB" w:rsidRPr="008647BB" w:rsidRDefault="008647BB" w:rsidP="008647BB">
            <w:pPr>
              <w:autoSpaceDE w:val="0"/>
              <w:autoSpaceDN w:val="0"/>
              <w:bidi w:val="0"/>
              <w:adjustRightInd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  <w:r w:rsidRPr="008647BB"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  <w:t>After repeated subcutaneous 1.5 mg/kg once daily dosing, mean AUC of anti-</w:t>
            </w:r>
            <w:proofErr w:type="spellStart"/>
            <w:r w:rsidRPr="008647BB"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  <w:t>Xa</w:t>
            </w:r>
            <w:proofErr w:type="spellEnd"/>
            <w:r w:rsidRPr="008647BB"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  <w:t xml:space="preserve"> activity is marginally higher at steady state in obese healthy volunteers (BMI 30-48 kg/m</w:t>
            </w:r>
            <w:r w:rsidRPr="008647BB">
              <w:rPr>
                <w:rFonts w:ascii="Tahoma" w:hAnsi="Tahoma" w:cs="Tahoma"/>
                <w:sz w:val="20"/>
                <w:szCs w:val="20"/>
                <w:highlight w:val="yellow"/>
                <w:vertAlign w:val="superscript"/>
                <w:lang w:eastAsia="en-US"/>
              </w:rPr>
              <w:t>2</w:t>
            </w:r>
            <w:r w:rsidRPr="008647BB"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  <w:t xml:space="preserve">) compared to non-obese control subjects, while Amax is not increased.197 There is a lower weight-adjusted clearance in obese subjects with subcutaneous dosing. </w:t>
            </w:r>
          </w:p>
          <w:p w:rsidR="008647BB" w:rsidRPr="008647BB" w:rsidRDefault="008647BB" w:rsidP="008647BB">
            <w:pPr>
              <w:bidi w:val="0"/>
              <w:jc w:val="both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  <w:r w:rsidRPr="008647BB"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  <w:t>When non-weight adjusted dosing was administered, it was found after a single-subcutaneous 40 mg dose, that anti-</w:t>
            </w:r>
            <w:proofErr w:type="spellStart"/>
            <w:r w:rsidRPr="008647BB"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  <w:t>Xa</w:t>
            </w:r>
            <w:proofErr w:type="spellEnd"/>
            <w:r w:rsidRPr="008647BB"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  <w:t xml:space="preserve"> exposure is 52% higher in low-weight women (&lt;45 kg) and 27% higher in low-weight men (&lt;57 kg) when compared to normal weight control subjects (see Section </w:t>
            </w:r>
            <w:r w:rsidRPr="008647BB">
              <w:rPr>
                <w:rFonts w:ascii="Tahoma" w:hAnsi="Tahoma" w:cs="Tahoma"/>
                <w:sz w:val="20"/>
                <w:szCs w:val="20"/>
                <w:highlight w:val="yellow"/>
              </w:rPr>
              <w:t>4.4-</w:t>
            </w:r>
            <w:r w:rsidRPr="008647B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 w:rsidRPr="008647BB"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  <w:t>Special warnings and special precautions for use).</w:t>
            </w:r>
          </w:p>
          <w:p w:rsidR="00667EA6" w:rsidRPr="001332AD" w:rsidRDefault="00667EA6" w:rsidP="005E38FB">
            <w:pPr>
              <w:pStyle w:val="a3"/>
            </w:pPr>
          </w:p>
        </w:tc>
      </w:tr>
    </w:tbl>
    <w:p w:rsidR="003E4D8B" w:rsidRDefault="003E4D8B" w:rsidP="00B06D17">
      <w:pPr>
        <w:ind w:left="-143" w:right="-142"/>
        <w:rPr>
          <w:rtl/>
        </w:rPr>
      </w:pPr>
      <w:r>
        <w:rPr>
          <w:rFonts w:hint="cs"/>
          <w:rtl/>
        </w:rPr>
        <w:lastRenderedPageBreak/>
        <w:t xml:space="preserve">      </w:t>
      </w:r>
    </w:p>
    <w:p w:rsidR="006F4F0F" w:rsidRDefault="006F4F0F" w:rsidP="008041A5">
      <w:pPr>
        <w:ind w:left="-143" w:right="-142"/>
        <w:rPr>
          <w:rtl/>
        </w:rPr>
      </w:pPr>
    </w:p>
    <w:sectPr w:rsidR="006F4F0F">
      <w:pgSz w:w="11906" w:h="16838"/>
      <w:pgMar w:top="1440" w:right="1800" w:bottom="1440" w:left="180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74E"/>
    <w:multiLevelType w:val="hybridMultilevel"/>
    <w:tmpl w:val="DE56247C"/>
    <w:lvl w:ilvl="0" w:tplc="74C41D36">
      <w:start w:val="2"/>
      <w:numFmt w:val="bullet"/>
      <w:lvlText w:val=""/>
      <w:lvlJc w:val="left"/>
      <w:pPr>
        <w:tabs>
          <w:tab w:val="num" w:pos="262"/>
        </w:tabs>
        <w:ind w:left="262" w:hanging="405"/>
      </w:pPr>
      <w:rPr>
        <w:rFonts w:ascii="Wingdings" w:hAnsi="Wingdings" w:cs="Miriam" w:hint="default"/>
        <w:sz w:val="40"/>
      </w:rPr>
    </w:lvl>
    <w:lvl w:ilvl="1" w:tplc="040D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1">
    <w:nsid w:val="0A5B63DD"/>
    <w:multiLevelType w:val="multilevel"/>
    <w:tmpl w:val="E8FEED7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F1144A"/>
    <w:multiLevelType w:val="hybridMultilevel"/>
    <w:tmpl w:val="3F8427A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654C14"/>
    <w:multiLevelType w:val="hybridMultilevel"/>
    <w:tmpl w:val="2506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45C6"/>
    <w:multiLevelType w:val="hybridMultilevel"/>
    <w:tmpl w:val="F6E09F92"/>
    <w:lvl w:ilvl="0" w:tplc="BBFE8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05E6E"/>
    <w:multiLevelType w:val="hybridMultilevel"/>
    <w:tmpl w:val="FC0E62AC"/>
    <w:lvl w:ilvl="0" w:tplc="74C41D36">
      <w:start w:val="2"/>
      <w:numFmt w:val="bullet"/>
      <w:lvlText w:val=""/>
      <w:lvlJc w:val="left"/>
      <w:pPr>
        <w:ind w:left="720" w:hanging="360"/>
      </w:pPr>
      <w:rPr>
        <w:rFonts w:ascii="Wingdings" w:hAnsi="Wingdings" w:cs="Miriam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C2424"/>
    <w:multiLevelType w:val="hybridMultilevel"/>
    <w:tmpl w:val="39CC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873ED"/>
    <w:multiLevelType w:val="hybridMultilevel"/>
    <w:tmpl w:val="A074184C"/>
    <w:lvl w:ilvl="0" w:tplc="7222F78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1A68E8"/>
    <w:multiLevelType w:val="hybridMultilevel"/>
    <w:tmpl w:val="4FF0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166BC"/>
    <w:multiLevelType w:val="hybridMultilevel"/>
    <w:tmpl w:val="DE56247C"/>
    <w:lvl w:ilvl="0" w:tplc="E25A1F48">
      <w:start w:val="2"/>
      <w:numFmt w:val="bullet"/>
      <w:lvlText w:val=""/>
      <w:lvlJc w:val="left"/>
      <w:pPr>
        <w:tabs>
          <w:tab w:val="num" w:pos="262"/>
        </w:tabs>
        <w:ind w:left="262" w:hanging="405"/>
      </w:pPr>
      <w:rPr>
        <w:rFonts w:ascii="Wingdings" w:hAnsi="Wingdings" w:cs="Miriam" w:hint="default"/>
        <w:sz w:val="36"/>
      </w:rPr>
    </w:lvl>
    <w:lvl w:ilvl="1" w:tplc="040D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10">
    <w:nsid w:val="3C11220B"/>
    <w:multiLevelType w:val="hybridMultilevel"/>
    <w:tmpl w:val="FE8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60D37"/>
    <w:multiLevelType w:val="hybridMultilevel"/>
    <w:tmpl w:val="4C6E8F4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B7AD7"/>
    <w:multiLevelType w:val="hybridMultilevel"/>
    <w:tmpl w:val="0D0A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6B9AF"/>
    <w:multiLevelType w:val="hybridMultilevel"/>
    <w:tmpl w:val="965A745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C7710BF"/>
    <w:multiLevelType w:val="hybridMultilevel"/>
    <w:tmpl w:val="35A8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056F2"/>
    <w:multiLevelType w:val="hybridMultilevel"/>
    <w:tmpl w:val="3E7A5B5E"/>
    <w:lvl w:ilvl="0" w:tplc="B198C2A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6322B"/>
    <w:multiLevelType w:val="hybridMultilevel"/>
    <w:tmpl w:val="EABCAE36"/>
    <w:lvl w:ilvl="0" w:tplc="80ACC2B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211E19"/>
    <w:multiLevelType w:val="hybridMultilevel"/>
    <w:tmpl w:val="B0ECBD18"/>
    <w:lvl w:ilvl="0" w:tplc="BBFE8D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B419AE"/>
    <w:multiLevelType w:val="hybridMultilevel"/>
    <w:tmpl w:val="9CFABBA0"/>
    <w:lvl w:ilvl="0" w:tplc="74C41D36">
      <w:start w:val="2"/>
      <w:numFmt w:val="bullet"/>
      <w:lvlText w:val=""/>
      <w:lvlJc w:val="left"/>
      <w:pPr>
        <w:ind w:left="360" w:hanging="360"/>
      </w:pPr>
      <w:rPr>
        <w:rFonts w:ascii="Wingdings" w:hAnsi="Wingdings" w:cs="Miriam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540F4E"/>
    <w:multiLevelType w:val="hybridMultilevel"/>
    <w:tmpl w:val="B8B463D2"/>
    <w:lvl w:ilvl="0" w:tplc="D07E0DF4">
      <w:start w:val="2"/>
      <w:numFmt w:val="bullet"/>
      <w:lvlText w:val="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Miriam" w:hint="default"/>
        <w:sz w:val="40"/>
        <w:szCs w:val="40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5E100FA"/>
    <w:multiLevelType w:val="hybridMultilevel"/>
    <w:tmpl w:val="BAD05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C272D"/>
    <w:multiLevelType w:val="hybridMultilevel"/>
    <w:tmpl w:val="5CEC4D1E"/>
    <w:lvl w:ilvl="0" w:tplc="BBFE8D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83599F"/>
    <w:multiLevelType w:val="hybridMultilevel"/>
    <w:tmpl w:val="47DA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16"/>
  </w:num>
  <w:num w:numId="5">
    <w:abstractNumId w:val="18"/>
  </w:num>
  <w:num w:numId="6">
    <w:abstractNumId w:val="5"/>
  </w:num>
  <w:num w:numId="7">
    <w:abstractNumId w:val="10"/>
  </w:num>
  <w:num w:numId="8">
    <w:abstractNumId w:val="20"/>
  </w:num>
  <w:num w:numId="9">
    <w:abstractNumId w:val="11"/>
  </w:num>
  <w:num w:numId="10">
    <w:abstractNumId w:val="7"/>
  </w:num>
  <w:num w:numId="11">
    <w:abstractNumId w:val="2"/>
  </w:num>
  <w:num w:numId="12">
    <w:abstractNumId w:val="22"/>
  </w:num>
  <w:num w:numId="13">
    <w:abstractNumId w:val="15"/>
  </w:num>
  <w:num w:numId="14">
    <w:abstractNumId w:val="12"/>
  </w:num>
  <w:num w:numId="15">
    <w:abstractNumId w:val="13"/>
  </w:num>
  <w:num w:numId="16">
    <w:abstractNumId w:val="1"/>
  </w:num>
  <w:num w:numId="17">
    <w:abstractNumId w:val="6"/>
  </w:num>
  <w:num w:numId="18">
    <w:abstractNumId w:val="8"/>
  </w:num>
  <w:num w:numId="19">
    <w:abstractNumId w:val="14"/>
  </w:num>
  <w:num w:numId="20">
    <w:abstractNumId w:val="3"/>
  </w:num>
  <w:num w:numId="21">
    <w:abstractNumId w:val="17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C1"/>
    <w:rsid w:val="000076ED"/>
    <w:rsid w:val="00010EA4"/>
    <w:rsid w:val="000357C6"/>
    <w:rsid w:val="00035A2A"/>
    <w:rsid w:val="00053308"/>
    <w:rsid w:val="00067D95"/>
    <w:rsid w:val="00076404"/>
    <w:rsid w:val="00086105"/>
    <w:rsid w:val="000923C4"/>
    <w:rsid w:val="00097E63"/>
    <w:rsid w:val="000B46A8"/>
    <w:rsid w:val="000C3D4F"/>
    <w:rsid w:val="000D3531"/>
    <w:rsid w:val="000F32DF"/>
    <w:rsid w:val="00113533"/>
    <w:rsid w:val="00121A4F"/>
    <w:rsid w:val="001332AD"/>
    <w:rsid w:val="00135040"/>
    <w:rsid w:val="00136F84"/>
    <w:rsid w:val="0014475F"/>
    <w:rsid w:val="001651C6"/>
    <w:rsid w:val="001664A4"/>
    <w:rsid w:val="00170AD1"/>
    <w:rsid w:val="001957C5"/>
    <w:rsid w:val="001B0416"/>
    <w:rsid w:val="001D61DB"/>
    <w:rsid w:val="001F2D42"/>
    <w:rsid w:val="002031B6"/>
    <w:rsid w:val="00213559"/>
    <w:rsid w:val="00222CC3"/>
    <w:rsid w:val="00225409"/>
    <w:rsid w:val="00243A75"/>
    <w:rsid w:val="00265102"/>
    <w:rsid w:val="00267392"/>
    <w:rsid w:val="00271C9A"/>
    <w:rsid w:val="00271CD9"/>
    <w:rsid w:val="002B2685"/>
    <w:rsid w:val="002C2628"/>
    <w:rsid w:val="002C4522"/>
    <w:rsid w:val="0030462B"/>
    <w:rsid w:val="0033527A"/>
    <w:rsid w:val="00346661"/>
    <w:rsid w:val="003650DC"/>
    <w:rsid w:val="00372001"/>
    <w:rsid w:val="003742C3"/>
    <w:rsid w:val="00376B73"/>
    <w:rsid w:val="00386020"/>
    <w:rsid w:val="003E4D8B"/>
    <w:rsid w:val="003F2C35"/>
    <w:rsid w:val="003F713F"/>
    <w:rsid w:val="003F724B"/>
    <w:rsid w:val="00406AAE"/>
    <w:rsid w:val="0042765B"/>
    <w:rsid w:val="00485B25"/>
    <w:rsid w:val="004963A2"/>
    <w:rsid w:val="004A476F"/>
    <w:rsid w:val="004B15CC"/>
    <w:rsid w:val="004C0296"/>
    <w:rsid w:val="004D75A7"/>
    <w:rsid w:val="005220BB"/>
    <w:rsid w:val="005460F2"/>
    <w:rsid w:val="0056507F"/>
    <w:rsid w:val="00566738"/>
    <w:rsid w:val="00593543"/>
    <w:rsid w:val="005D4015"/>
    <w:rsid w:val="005E38FB"/>
    <w:rsid w:val="005E54AB"/>
    <w:rsid w:val="00601FEF"/>
    <w:rsid w:val="006046BA"/>
    <w:rsid w:val="00605122"/>
    <w:rsid w:val="006200EF"/>
    <w:rsid w:val="00621A66"/>
    <w:rsid w:val="00624D0C"/>
    <w:rsid w:val="006252B7"/>
    <w:rsid w:val="006268B7"/>
    <w:rsid w:val="006446C1"/>
    <w:rsid w:val="00667EA6"/>
    <w:rsid w:val="0067574A"/>
    <w:rsid w:val="00685619"/>
    <w:rsid w:val="006A25C3"/>
    <w:rsid w:val="006A3BCA"/>
    <w:rsid w:val="006A5E7B"/>
    <w:rsid w:val="006B575D"/>
    <w:rsid w:val="006D32ED"/>
    <w:rsid w:val="006E0DBE"/>
    <w:rsid w:val="006F4F0F"/>
    <w:rsid w:val="00712908"/>
    <w:rsid w:val="00723C95"/>
    <w:rsid w:val="00724F2F"/>
    <w:rsid w:val="007326F0"/>
    <w:rsid w:val="007376F2"/>
    <w:rsid w:val="0076749B"/>
    <w:rsid w:val="00771C77"/>
    <w:rsid w:val="007A4917"/>
    <w:rsid w:val="007B2533"/>
    <w:rsid w:val="007C50FB"/>
    <w:rsid w:val="007F0126"/>
    <w:rsid w:val="00802390"/>
    <w:rsid w:val="008041A5"/>
    <w:rsid w:val="008249C6"/>
    <w:rsid w:val="0083043A"/>
    <w:rsid w:val="0083078C"/>
    <w:rsid w:val="00840BEE"/>
    <w:rsid w:val="00846A6F"/>
    <w:rsid w:val="00854F3B"/>
    <w:rsid w:val="008647BB"/>
    <w:rsid w:val="008801B0"/>
    <w:rsid w:val="00881634"/>
    <w:rsid w:val="00886057"/>
    <w:rsid w:val="008919AA"/>
    <w:rsid w:val="0089533E"/>
    <w:rsid w:val="008A4114"/>
    <w:rsid w:val="008B5932"/>
    <w:rsid w:val="008C1D56"/>
    <w:rsid w:val="008C1E5F"/>
    <w:rsid w:val="008C6BC8"/>
    <w:rsid w:val="008D426D"/>
    <w:rsid w:val="008E23E4"/>
    <w:rsid w:val="00945EC6"/>
    <w:rsid w:val="00964EF8"/>
    <w:rsid w:val="00984492"/>
    <w:rsid w:val="009B2978"/>
    <w:rsid w:val="009B4442"/>
    <w:rsid w:val="009C1685"/>
    <w:rsid w:val="009D03F5"/>
    <w:rsid w:val="009D14A4"/>
    <w:rsid w:val="009E46A6"/>
    <w:rsid w:val="009F098A"/>
    <w:rsid w:val="009F1E5A"/>
    <w:rsid w:val="00A13D70"/>
    <w:rsid w:val="00A22957"/>
    <w:rsid w:val="00A25BE3"/>
    <w:rsid w:val="00A52BCF"/>
    <w:rsid w:val="00AC203D"/>
    <w:rsid w:val="00AD3B75"/>
    <w:rsid w:val="00AE6DF8"/>
    <w:rsid w:val="00AF0775"/>
    <w:rsid w:val="00B059FD"/>
    <w:rsid w:val="00B06D17"/>
    <w:rsid w:val="00B24B55"/>
    <w:rsid w:val="00B56EB6"/>
    <w:rsid w:val="00B73A4C"/>
    <w:rsid w:val="00BC1B22"/>
    <w:rsid w:val="00BF31DB"/>
    <w:rsid w:val="00BF7FEE"/>
    <w:rsid w:val="00C01F2F"/>
    <w:rsid w:val="00C17D76"/>
    <w:rsid w:val="00C25184"/>
    <w:rsid w:val="00C418F5"/>
    <w:rsid w:val="00C45656"/>
    <w:rsid w:val="00C55F59"/>
    <w:rsid w:val="00C70D7D"/>
    <w:rsid w:val="00C76442"/>
    <w:rsid w:val="00C9482E"/>
    <w:rsid w:val="00C96403"/>
    <w:rsid w:val="00CC2166"/>
    <w:rsid w:val="00CD787C"/>
    <w:rsid w:val="00CE24E9"/>
    <w:rsid w:val="00D26DDC"/>
    <w:rsid w:val="00D47DAE"/>
    <w:rsid w:val="00D63D9B"/>
    <w:rsid w:val="00D65605"/>
    <w:rsid w:val="00D73F75"/>
    <w:rsid w:val="00D844E5"/>
    <w:rsid w:val="00DA350E"/>
    <w:rsid w:val="00DC7A09"/>
    <w:rsid w:val="00DD328A"/>
    <w:rsid w:val="00DF6CDE"/>
    <w:rsid w:val="00E013A4"/>
    <w:rsid w:val="00E05B13"/>
    <w:rsid w:val="00E05B6C"/>
    <w:rsid w:val="00E14732"/>
    <w:rsid w:val="00E26424"/>
    <w:rsid w:val="00E3625E"/>
    <w:rsid w:val="00E42D97"/>
    <w:rsid w:val="00E46877"/>
    <w:rsid w:val="00E537B2"/>
    <w:rsid w:val="00E65908"/>
    <w:rsid w:val="00E751BD"/>
    <w:rsid w:val="00EB25DD"/>
    <w:rsid w:val="00EB3AAF"/>
    <w:rsid w:val="00EC2062"/>
    <w:rsid w:val="00EE0D19"/>
    <w:rsid w:val="00F424C1"/>
    <w:rsid w:val="00F470C1"/>
    <w:rsid w:val="00F738EC"/>
    <w:rsid w:val="00FD2FDA"/>
    <w:rsid w:val="00FD4195"/>
    <w:rsid w:val="00FD7D18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FEF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3">
    <w:name w:val="heading 3"/>
    <w:basedOn w:val="a"/>
    <w:next w:val="a"/>
    <w:qFormat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atz06">
    <w:name w:val="_Absatz /06"/>
    <w:basedOn w:val="a"/>
    <w:rsid w:val="006252B7"/>
    <w:pPr>
      <w:autoSpaceDE w:val="0"/>
      <w:autoSpaceDN w:val="0"/>
      <w:bidi w:val="0"/>
      <w:spacing w:after="120" w:line="260" w:lineRule="atLeast"/>
      <w:ind w:left="567"/>
      <w:jc w:val="both"/>
    </w:pPr>
    <w:rPr>
      <w:rFonts w:ascii="Arial" w:eastAsia="MS Mincho" w:hAnsi="Arial" w:cs="Arial"/>
      <w:sz w:val="20"/>
      <w:szCs w:val="20"/>
      <w:lang w:val="de-DE" w:eastAsia="de-DE" w:bidi="ar-SA"/>
    </w:rPr>
  </w:style>
  <w:style w:type="character" w:customStyle="1" w:styleId="10">
    <w:name w:val="כותרת 1 תו"/>
    <w:link w:val="1"/>
    <w:rsid w:val="007326F0"/>
    <w:rPr>
      <w:rFonts w:cs="Courier New"/>
      <w:b/>
      <w:bCs/>
      <w:szCs w:val="36"/>
      <w:u w:val="single"/>
    </w:rPr>
  </w:style>
  <w:style w:type="paragraph" w:styleId="a3">
    <w:name w:val="Body Text"/>
    <w:basedOn w:val="a"/>
    <w:link w:val="a4"/>
    <w:rsid w:val="007326F0"/>
    <w:pPr>
      <w:autoSpaceDE w:val="0"/>
      <w:autoSpaceDN w:val="0"/>
      <w:bidi w:val="0"/>
      <w:adjustRightInd w:val="0"/>
    </w:pPr>
    <w:rPr>
      <w:rFonts w:ascii="Verdana" w:hAnsi="Verdana" w:cs="Times New Roman"/>
      <w:b/>
      <w:bCs/>
      <w:sz w:val="20"/>
      <w:szCs w:val="20"/>
    </w:rPr>
  </w:style>
  <w:style w:type="character" w:customStyle="1" w:styleId="a4">
    <w:name w:val="גוף טקסט תו"/>
    <w:link w:val="a3"/>
    <w:rsid w:val="007326F0"/>
    <w:rPr>
      <w:rFonts w:ascii="Verdana" w:hAnsi="Verdana"/>
      <w:b/>
      <w:bCs/>
      <w:lang w:eastAsia="he-IL"/>
    </w:rPr>
  </w:style>
  <w:style w:type="paragraph" w:customStyle="1" w:styleId="dAbsnormal">
    <w:name w:val="d Abs. normal"/>
    <w:basedOn w:val="a"/>
    <w:rsid w:val="007326F0"/>
    <w:pPr>
      <w:bidi w:val="0"/>
      <w:spacing w:line="260" w:lineRule="exact"/>
      <w:ind w:left="567"/>
      <w:jc w:val="both"/>
    </w:pPr>
    <w:rPr>
      <w:rFonts w:ascii="Arial" w:hAnsi="Arial" w:cs="Arial"/>
      <w:sz w:val="20"/>
      <w:szCs w:val="20"/>
      <w:lang w:val="de-DE" w:eastAsia="en-US" w:bidi="ar-SA"/>
    </w:rPr>
  </w:style>
  <w:style w:type="paragraph" w:styleId="a5">
    <w:name w:val="header"/>
    <w:basedOn w:val="a"/>
    <w:link w:val="a6"/>
    <w:rsid w:val="004A476F"/>
    <w:pPr>
      <w:tabs>
        <w:tab w:val="center" w:pos="4153"/>
        <w:tab w:val="right" w:pos="8306"/>
      </w:tabs>
      <w:bidi w:val="0"/>
      <w:jc w:val="both"/>
    </w:pPr>
    <w:rPr>
      <w:rFonts w:cs="Times New Roman"/>
      <w:szCs w:val="20"/>
      <w:lang w:val="en-GB" w:eastAsia="en-US" w:bidi="ar-SA"/>
    </w:rPr>
  </w:style>
  <w:style w:type="character" w:customStyle="1" w:styleId="a6">
    <w:name w:val="כותרת עליונה תו"/>
    <w:link w:val="a5"/>
    <w:rsid w:val="004A476F"/>
    <w:rPr>
      <w:sz w:val="24"/>
      <w:lang w:val="en-GB" w:bidi="ar-SA"/>
    </w:rPr>
  </w:style>
  <w:style w:type="paragraph" w:styleId="a7">
    <w:name w:val="List Paragraph"/>
    <w:basedOn w:val="a"/>
    <w:uiPriority w:val="34"/>
    <w:qFormat/>
    <w:rsid w:val="008919AA"/>
    <w:pPr>
      <w:ind w:left="720"/>
    </w:pPr>
    <w:rPr>
      <w:rFonts w:eastAsia="MS Mincho" w:cs="Miriam"/>
      <w:sz w:val="22"/>
      <w:szCs w:val="22"/>
    </w:rPr>
  </w:style>
  <w:style w:type="paragraph" w:styleId="a8">
    <w:name w:val="Body Text Indent"/>
    <w:basedOn w:val="a"/>
    <w:link w:val="a9"/>
    <w:rsid w:val="001332AD"/>
    <w:pPr>
      <w:spacing w:after="120"/>
      <w:ind w:left="283"/>
    </w:pPr>
  </w:style>
  <w:style w:type="character" w:customStyle="1" w:styleId="a9">
    <w:name w:val="כניסה בגוף טקסט תו"/>
    <w:link w:val="a8"/>
    <w:rsid w:val="001332AD"/>
    <w:rPr>
      <w:rFonts w:cs="David"/>
      <w:sz w:val="24"/>
      <w:szCs w:val="24"/>
      <w:lang w:eastAsia="he-IL"/>
    </w:rPr>
  </w:style>
  <w:style w:type="paragraph" w:styleId="aa">
    <w:name w:val="Balloon Text"/>
    <w:basedOn w:val="a"/>
    <w:link w:val="ab"/>
    <w:rsid w:val="00C96403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C96403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FEF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3">
    <w:name w:val="heading 3"/>
    <w:basedOn w:val="a"/>
    <w:next w:val="a"/>
    <w:qFormat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atz06">
    <w:name w:val="_Absatz /06"/>
    <w:basedOn w:val="a"/>
    <w:rsid w:val="006252B7"/>
    <w:pPr>
      <w:autoSpaceDE w:val="0"/>
      <w:autoSpaceDN w:val="0"/>
      <w:bidi w:val="0"/>
      <w:spacing w:after="120" w:line="260" w:lineRule="atLeast"/>
      <w:ind w:left="567"/>
      <w:jc w:val="both"/>
    </w:pPr>
    <w:rPr>
      <w:rFonts w:ascii="Arial" w:eastAsia="MS Mincho" w:hAnsi="Arial" w:cs="Arial"/>
      <w:sz w:val="20"/>
      <w:szCs w:val="20"/>
      <w:lang w:val="de-DE" w:eastAsia="de-DE" w:bidi="ar-SA"/>
    </w:rPr>
  </w:style>
  <w:style w:type="character" w:customStyle="1" w:styleId="10">
    <w:name w:val="כותרת 1 תו"/>
    <w:link w:val="1"/>
    <w:rsid w:val="007326F0"/>
    <w:rPr>
      <w:rFonts w:cs="Courier New"/>
      <w:b/>
      <w:bCs/>
      <w:szCs w:val="36"/>
      <w:u w:val="single"/>
    </w:rPr>
  </w:style>
  <w:style w:type="paragraph" w:styleId="a3">
    <w:name w:val="Body Text"/>
    <w:basedOn w:val="a"/>
    <w:link w:val="a4"/>
    <w:rsid w:val="007326F0"/>
    <w:pPr>
      <w:autoSpaceDE w:val="0"/>
      <w:autoSpaceDN w:val="0"/>
      <w:bidi w:val="0"/>
      <w:adjustRightInd w:val="0"/>
    </w:pPr>
    <w:rPr>
      <w:rFonts w:ascii="Verdana" w:hAnsi="Verdana" w:cs="Times New Roman"/>
      <w:b/>
      <w:bCs/>
      <w:sz w:val="20"/>
      <w:szCs w:val="20"/>
    </w:rPr>
  </w:style>
  <w:style w:type="character" w:customStyle="1" w:styleId="a4">
    <w:name w:val="גוף טקסט תו"/>
    <w:link w:val="a3"/>
    <w:rsid w:val="007326F0"/>
    <w:rPr>
      <w:rFonts w:ascii="Verdana" w:hAnsi="Verdana"/>
      <w:b/>
      <w:bCs/>
      <w:lang w:eastAsia="he-IL"/>
    </w:rPr>
  </w:style>
  <w:style w:type="paragraph" w:customStyle="1" w:styleId="dAbsnormal">
    <w:name w:val="d Abs. normal"/>
    <w:basedOn w:val="a"/>
    <w:rsid w:val="007326F0"/>
    <w:pPr>
      <w:bidi w:val="0"/>
      <w:spacing w:line="260" w:lineRule="exact"/>
      <w:ind w:left="567"/>
      <w:jc w:val="both"/>
    </w:pPr>
    <w:rPr>
      <w:rFonts w:ascii="Arial" w:hAnsi="Arial" w:cs="Arial"/>
      <w:sz w:val="20"/>
      <w:szCs w:val="20"/>
      <w:lang w:val="de-DE" w:eastAsia="en-US" w:bidi="ar-SA"/>
    </w:rPr>
  </w:style>
  <w:style w:type="paragraph" w:styleId="a5">
    <w:name w:val="header"/>
    <w:basedOn w:val="a"/>
    <w:link w:val="a6"/>
    <w:rsid w:val="004A476F"/>
    <w:pPr>
      <w:tabs>
        <w:tab w:val="center" w:pos="4153"/>
        <w:tab w:val="right" w:pos="8306"/>
      </w:tabs>
      <w:bidi w:val="0"/>
      <w:jc w:val="both"/>
    </w:pPr>
    <w:rPr>
      <w:rFonts w:cs="Times New Roman"/>
      <w:szCs w:val="20"/>
      <w:lang w:val="en-GB" w:eastAsia="en-US" w:bidi="ar-SA"/>
    </w:rPr>
  </w:style>
  <w:style w:type="character" w:customStyle="1" w:styleId="a6">
    <w:name w:val="כותרת עליונה תו"/>
    <w:link w:val="a5"/>
    <w:rsid w:val="004A476F"/>
    <w:rPr>
      <w:sz w:val="24"/>
      <w:lang w:val="en-GB" w:bidi="ar-SA"/>
    </w:rPr>
  </w:style>
  <w:style w:type="paragraph" w:styleId="a7">
    <w:name w:val="List Paragraph"/>
    <w:basedOn w:val="a"/>
    <w:uiPriority w:val="34"/>
    <w:qFormat/>
    <w:rsid w:val="008919AA"/>
    <w:pPr>
      <w:ind w:left="720"/>
    </w:pPr>
    <w:rPr>
      <w:rFonts w:eastAsia="MS Mincho" w:cs="Miriam"/>
      <w:sz w:val="22"/>
      <w:szCs w:val="22"/>
    </w:rPr>
  </w:style>
  <w:style w:type="paragraph" w:styleId="a8">
    <w:name w:val="Body Text Indent"/>
    <w:basedOn w:val="a"/>
    <w:link w:val="a9"/>
    <w:rsid w:val="001332AD"/>
    <w:pPr>
      <w:spacing w:after="120"/>
      <w:ind w:left="283"/>
    </w:pPr>
  </w:style>
  <w:style w:type="character" w:customStyle="1" w:styleId="a9">
    <w:name w:val="כניסה בגוף טקסט תו"/>
    <w:link w:val="a8"/>
    <w:rsid w:val="001332AD"/>
    <w:rPr>
      <w:rFonts w:cs="David"/>
      <w:sz w:val="24"/>
      <w:szCs w:val="24"/>
      <w:lang w:eastAsia="he-IL"/>
    </w:rPr>
  </w:style>
  <w:style w:type="paragraph" w:styleId="aa">
    <w:name w:val="Balloon Text"/>
    <w:basedOn w:val="a"/>
    <w:link w:val="ab"/>
    <w:rsid w:val="00C96403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C96403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utoNumber xmlns="43f5c83f-d7ad-4276-a107-8019a824ecd5">175544316</AutoNumber>
    <REQUESTNUMBER xmlns="43f5c83f-d7ad-4276-a107-8019a824ecd5">94945,91807,94046,90292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91626,91621,33418,91627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2,2,2,2</REQUESTTYPE>
    <UCOMMENTS xmlns="43f5c83f-d7ad-4276-a107-8019a824ecd5">טופס החמרות בעלון לרופא ולצרכן</UCOMMENTS>
    <OWNER xmlns="43f5c83f-d7ad-4276-a107-8019a824ecd5">722,722,722,722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54</DOCUMENTTYPE>
    <LANGUAGE xmlns="43f5c83f-d7ad-4276-a107-8019a824ecd5">_</LANGUAGE>
    <FILEEXT xmlns="43f5c83f-d7ad-4276-a107-8019a824ecd5">docx</FILEEXT>
    <SAPNAME xmlns="43f5c83f-d7ad-4276-a107-8019a824ecd5">357</SAPNAME>
    <SDDocumentSource xmlns="43f5c83f-d7ad-4276-a107-8019a824ecd5" xsi:nil="true"/>
    <SDImportance xmlns="43f5c83f-d7ad-4276-a107-8019a824ecd5" xsi:nil="true"/>
    <REGISTRATIONNUMBER xmlns="43f5c83f-d7ad-4276-a107-8019a824ecd5">2603700,2603711,3000700,3203100</REGISTRATIONNUMBER>
    <SDCategories xmlns="43f5c83f-d7ad-4276-a107-8019a824ecd5" xsi:nil="true"/>
    <SDDocDate xmlns="43f5c83f-d7ad-4276-a107-8019a824ecd5">1903-03-03T06:00:01+00:00</SDDocDate>
    <DRAGOBJID xmlns="43f5c83f-d7ad-4276-a107-8019a824ecd5">2603700,2603711,3000700,3203100</DRAGOBJID>
    <mossuploaddate xmlns="43f5c83f-d7ad-4276-a107-8019a824ecd5">2013-10-16 12:47:09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5BE11C3A-0FE2-43E6-AD49-422C1837475D}"/>
</file>

<file path=customXml/itemProps2.xml><?xml version="1.0" encoding="utf-8"?>
<ds:datastoreItem xmlns:ds="http://schemas.openxmlformats.org/officeDocument/2006/customXml" ds:itemID="{9C39D754-5C7B-4A0D-A6DB-BFAEF434D075}"/>
</file>

<file path=customXml/itemProps3.xml><?xml version="1.0" encoding="utf-8"?>
<ds:datastoreItem xmlns:ds="http://schemas.openxmlformats.org/officeDocument/2006/customXml" ds:itemID="{237C0306-03E1-4512-884E-AF52D64ACA33}"/>
</file>

<file path=customXml/itemProps4.xml><?xml version="1.0" encoding="utf-8"?>
<ds:datastoreItem xmlns:ds="http://schemas.openxmlformats.org/officeDocument/2006/customXml" ds:itemID="{128FA38C-D6B2-4893-8F23-F35E3FBA8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1594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הודעה על החמרה  ( מידע בטיחות)  בעלון לצרכן</vt:lpstr>
    </vt:vector>
  </TitlesOfParts>
  <Company>Ministry of Health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clexane clexane forte pil+ spc worsening</dc:title>
  <dc:creator>g</dc:creator>
  <cp:lastModifiedBy>מילי דיוינסקי</cp:lastModifiedBy>
  <cp:revision>15</cp:revision>
  <cp:lastPrinted>2013-10-02T04:39:00Z</cp:lastPrinted>
  <dcterms:created xsi:type="dcterms:W3CDTF">2013-10-02T04:28:00Z</dcterms:created>
  <dcterms:modified xsi:type="dcterms:W3CDTF">2013-10-16T09:52:00Z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0x0101003087E69DB9DC9043B61CAF33AD2347EC02001CBDDCEF83C24E4BB60E8B2AD3F1B4C6</vt:lpwstr>
  </property>
  <property fmtid="{D5CDD505-2E9C-101B-9397-08002B2CF9AE}" pid="4" name="ARCHIVE_INDICATION">
    <vt:lpwstr>1</vt:lpwstr>
  </property>
  <property fmtid="{D5CDD505-2E9C-101B-9397-08002B2CF9AE}" pid="5" name="DOCM_CREATION_DATE">
    <vt:lpwstr>null</vt:lpwstr>
  </property>
</Properties>
</file>