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FA" w:rsidRDefault="004005FA" w:rsidP="004005FA">
      <w:pPr>
        <w:spacing w:after="0" w:line="240" w:lineRule="auto"/>
        <w:jc w:val="center"/>
        <w:rPr>
          <w:rFonts w:ascii="Times New Roman" w:eastAsia="Times New Roman" w:hAnsi="Times New Roman" w:cs="David Transparent" w:hint="cs"/>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05FA" w:rsidRPr="006E42F8" w:rsidRDefault="004005FA" w:rsidP="004005FA">
      <w:pPr>
        <w:spacing w:after="0" w:line="240" w:lineRule="auto"/>
        <w:jc w:val="center"/>
        <w:rPr>
          <w:rFonts w:cs="David"/>
          <w:color w:val="FFFFFF"/>
          <w:sz w:val="30"/>
          <w:szCs w:val="30"/>
          <w:highlight w:val="black"/>
          <w:rtl/>
        </w:rPr>
      </w:pPr>
      <w:r w:rsidRPr="006E42F8">
        <w:rPr>
          <w:rFonts w:cs="David" w:hint="cs"/>
          <w:color w:val="FFFFFF"/>
          <w:sz w:val="30"/>
          <w:szCs w:val="30"/>
          <w:highlight w:val="black"/>
          <w:rtl/>
        </w:rPr>
        <w:t xml:space="preserve">הודעה על </w:t>
      </w:r>
      <w:r w:rsidRPr="006E42F8">
        <w:rPr>
          <w:rFonts w:cs="David"/>
          <w:color w:val="FFFFFF"/>
          <w:sz w:val="30"/>
          <w:szCs w:val="30"/>
          <w:highlight w:val="black"/>
          <w:rtl/>
        </w:rPr>
        <w:t>החמרה  (</w:t>
      </w:r>
      <w:r w:rsidRPr="006E42F8">
        <w:rPr>
          <w:rFonts w:cs="David" w:hint="cs"/>
          <w:color w:val="FFFFFF"/>
          <w:sz w:val="30"/>
          <w:szCs w:val="30"/>
          <w:highlight w:val="black"/>
          <w:rtl/>
        </w:rPr>
        <w:t xml:space="preserve"> מידע </w:t>
      </w:r>
      <w:r w:rsidRPr="006E42F8">
        <w:rPr>
          <w:rFonts w:cs="David"/>
          <w:color w:val="FFFFFF"/>
          <w:sz w:val="30"/>
          <w:szCs w:val="30"/>
          <w:highlight w:val="black"/>
          <w:rtl/>
        </w:rPr>
        <w:t xml:space="preserve">בטיחות)  בעלון לצרכן </w:t>
      </w:r>
    </w:p>
    <w:p w:rsidR="004005FA" w:rsidRDefault="004005FA" w:rsidP="004005FA">
      <w:pPr>
        <w:spacing w:after="0" w:line="240" w:lineRule="auto"/>
        <w:rPr>
          <w:rFonts w:cs="David Transparent"/>
          <w:b/>
          <w:bCs/>
          <w:sz w:val="28"/>
          <w:szCs w:val="28"/>
          <w:rtl/>
        </w:rPr>
      </w:pPr>
    </w:p>
    <w:p w:rsidR="004005FA" w:rsidRPr="00410789" w:rsidRDefault="004005FA" w:rsidP="003B2C4B">
      <w:pPr>
        <w:spacing w:after="0" w:line="240" w:lineRule="auto"/>
        <w:rPr>
          <w:rFonts w:cs="David Transparent"/>
          <w:b/>
          <w:bCs/>
          <w:sz w:val="28"/>
          <w:szCs w:val="28"/>
          <w:rtl/>
        </w:rPr>
      </w:pPr>
      <w:r w:rsidRPr="00410789">
        <w:rPr>
          <w:rFonts w:cs="David Transparent" w:hint="cs"/>
          <w:b/>
          <w:bCs/>
          <w:sz w:val="28"/>
          <w:szCs w:val="28"/>
          <w:rtl/>
        </w:rPr>
        <w:t>תאריך</w:t>
      </w:r>
      <w:r>
        <w:rPr>
          <w:rFonts w:cs="David Transparent" w:hint="cs"/>
          <w:b/>
          <w:bCs/>
          <w:sz w:val="28"/>
          <w:szCs w:val="28"/>
          <w:rtl/>
        </w:rPr>
        <w:t>:</w:t>
      </w:r>
      <w:r w:rsidRPr="00410789">
        <w:rPr>
          <w:rFonts w:cs="David Transparent" w:hint="cs"/>
          <w:b/>
          <w:bCs/>
          <w:sz w:val="28"/>
          <w:szCs w:val="28"/>
          <w:rtl/>
        </w:rPr>
        <w:t xml:space="preserve"> </w:t>
      </w:r>
      <w:r w:rsidR="003B2C4B">
        <w:rPr>
          <w:rFonts w:cs="David Transparent" w:hint="cs"/>
          <w:sz w:val="28"/>
          <w:szCs w:val="28"/>
          <w:u w:val="single"/>
          <w:rtl/>
        </w:rPr>
        <w:t>13</w:t>
      </w:r>
      <w:bookmarkStart w:id="0" w:name="_GoBack"/>
      <w:bookmarkEnd w:id="0"/>
      <w:r w:rsidRPr="008F78D1">
        <w:rPr>
          <w:rFonts w:cs="David Transparent" w:hint="cs"/>
          <w:sz w:val="28"/>
          <w:szCs w:val="28"/>
          <w:u w:val="single"/>
          <w:rtl/>
        </w:rPr>
        <w:t>.01.2013</w:t>
      </w:r>
    </w:p>
    <w:p w:rsidR="004005FA" w:rsidRDefault="004005FA" w:rsidP="004005FA">
      <w:pPr>
        <w:spacing w:after="0" w:line="240" w:lineRule="auto"/>
        <w:rPr>
          <w:rFonts w:cs="David Transparent"/>
          <w:b/>
          <w:bCs/>
          <w:szCs w:val="28"/>
          <w:rtl/>
        </w:rPr>
      </w:pPr>
      <w:r>
        <w:rPr>
          <w:rFonts w:cs="David Transparent" w:hint="cs"/>
          <w:b/>
          <w:bCs/>
          <w:szCs w:val="28"/>
          <w:rtl/>
        </w:rPr>
        <w:t xml:space="preserve">שם תכשיר באנגלית ומספר הרישום: </w:t>
      </w:r>
      <w:r w:rsidRPr="008F78D1">
        <w:rPr>
          <w:rFonts w:ascii="Arial" w:hAnsi="Arial"/>
          <w:b/>
          <w:bCs/>
          <w:color w:val="000000"/>
          <w:u w:val="single"/>
        </w:rPr>
        <w:t xml:space="preserve">130 43 30944 –23, 24, 25 </w:t>
      </w:r>
      <w:r w:rsidRPr="008F78D1">
        <w:rPr>
          <w:rFonts w:cs="David Transparent" w:hint="cs"/>
          <w:b/>
          <w:bCs/>
          <w:szCs w:val="28"/>
          <w:u w:val="single"/>
          <w:rtl/>
        </w:rPr>
        <w:t xml:space="preserve"> </w:t>
      </w:r>
      <w:proofErr w:type="spellStart"/>
      <w:r w:rsidRPr="008F78D1">
        <w:rPr>
          <w:rFonts w:ascii="Arial" w:hAnsi="Arial" w:cs="Arial"/>
          <w:b/>
          <w:bCs/>
          <w:szCs w:val="24"/>
          <w:u w:val="single"/>
        </w:rPr>
        <w:t>Viread</w:t>
      </w:r>
      <w:proofErr w:type="spellEnd"/>
    </w:p>
    <w:p w:rsidR="004005FA" w:rsidRDefault="004005FA" w:rsidP="004005FA">
      <w:pPr>
        <w:spacing w:after="0" w:line="240" w:lineRule="auto"/>
        <w:rPr>
          <w:rFonts w:cs="David Transparent"/>
          <w:b/>
          <w:bCs/>
          <w:sz w:val="26"/>
          <w:szCs w:val="26"/>
          <w:rtl/>
        </w:rPr>
      </w:pPr>
      <w:r w:rsidRPr="008A137F">
        <w:rPr>
          <w:rFonts w:cs="David Transparent"/>
          <w:b/>
          <w:bCs/>
          <w:sz w:val="26"/>
          <w:szCs w:val="26"/>
          <w:rtl/>
        </w:rPr>
        <w:t>שם בעל הרישום</w:t>
      </w:r>
      <w:r w:rsidRPr="00AB5A83">
        <w:rPr>
          <w:rFonts w:ascii="Arial" w:hAnsi="Arial"/>
          <w:b/>
          <w:bCs/>
          <w:color w:val="000000"/>
        </w:rPr>
        <w:t xml:space="preserve"> </w:t>
      </w:r>
      <w:r w:rsidRPr="008F78D1">
        <w:rPr>
          <w:rFonts w:ascii="Arial" w:hAnsi="Arial"/>
          <w:b/>
          <w:bCs/>
          <w:color w:val="000000"/>
          <w:u w:val="single"/>
        </w:rPr>
        <w:t>Neopharm Ltd</w:t>
      </w:r>
      <w:r>
        <w:rPr>
          <w:rFonts w:ascii="Arial" w:hAnsi="Arial"/>
          <w:b/>
          <w:bCs/>
          <w:color w:val="000000"/>
        </w:rPr>
        <w:t xml:space="preserve"> </w:t>
      </w:r>
      <w:r w:rsidRPr="008F78D1">
        <w:rPr>
          <w:rFonts w:ascii="Arial" w:hAnsi="Arial"/>
          <w:b/>
          <w:bCs/>
          <w:color w:val="000000"/>
        </w:rPr>
        <w:t>:</w:t>
      </w:r>
    </w:p>
    <w:tbl>
      <w:tblPr>
        <w:tblStyle w:val="TableGrid"/>
        <w:tblpPr w:leftFromText="180" w:rightFromText="180" w:vertAnchor="page" w:horzAnchor="margin" w:tblpY="3245"/>
        <w:bidiVisual/>
        <w:tblW w:w="0" w:type="auto"/>
        <w:tblLook w:val="04A0" w:firstRow="1" w:lastRow="0" w:firstColumn="1" w:lastColumn="0" w:noHBand="0" w:noVBand="1"/>
      </w:tblPr>
      <w:tblGrid>
        <w:gridCol w:w="2840"/>
        <w:gridCol w:w="2841"/>
        <w:gridCol w:w="2841"/>
      </w:tblGrid>
      <w:tr w:rsidR="004005FA" w:rsidTr="008A2416">
        <w:tc>
          <w:tcPr>
            <w:tcW w:w="8522" w:type="dxa"/>
            <w:gridSpan w:val="3"/>
            <w:shd w:val="clear" w:color="auto" w:fill="D9D9D9" w:themeFill="background1" w:themeFillShade="D9"/>
          </w:tcPr>
          <w:p w:rsidR="004005FA" w:rsidRPr="00D86F26" w:rsidRDefault="004005FA" w:rsidP="008A2416">
            <w:pPr>
              <w:tabs>
                <w:tab w:val="left" w:pos="1205"/>
                <w:tab w:val="center" w:pos="4153"/>
              </w:tabs>
              <w:rPr>
                <w:rFonts w:asciiTheme="minorBidi" w:hAnsiTheme="minorBidi"/>
                <w:b/>
                <w:bCs/>
                <w:rtl/>
              </w:rPr>
            </w:pPr>
            <w:r w:rsidRPr="00D86F26">
              <w:rPr>
                <w:rFonts w:asciiTheme="minorBidi" w:hAnsiTheme="minorBidi"/>
                <w:b/>
                <w:bCs/>
                <w:rtl/>
              </w:rPr>
              <w:tab/>
            </w:r>
            <w:r w:rsidRPr="00D86F26">
              <w:rPr>
                <w:rFonts w:asciiTheme="minorBidi" w:hAnsiTheme="minorBidi"/>
                <w:b/>
                <w:bCs/>
                <w:rtl/>
              </w:rPr>
              <w:tab/>
            </w:r>
            <w:proofErr w:type="spellStart"/>
            <w:r w:rsidRPr="00D86F26">
              <w:rPr>
                <w:rFonts w:asciiTheme="minorBidi" w:hAnsiTheme="minorBidi"/>
                <w:b/>
                <w:bCs/>
                <w:rtl/>
              </w:rPr>
              <w:t>ההחמרות</w:t>
            </w:r>
            <w:proofErr w:type="spellEnd"/>
            <w:r w:rsidRPr="00D86F26">
              <w:rPr>
                <w:rFonts w:asciiTheme="minorBidi" w:hAnsiTheme="minorBidi"/>
                <w:b/>
                <w:bCs/>
                <w:rtl/>
              </w:rPr>
              <w:t xml:space="preserve"> המבוקשות</w:t>
            </w:r>
          </w:p>
        </w:tc>
      </w:tr>
      <w:tr w:rsidR="004005FA" w:rsidTr="008A2416">
        <w:tc>
          <w:tcPr>
            <w:tcW w:w="2840" w:type="dxa"/>
          </w:tcPr>
          <w:p w:rsidR="004005FA" w:rsidRPr="00D86F26" w:rsidRDefault="004005FA" w:rsidP="008A2416">
            <w:pPr>
              <w:jc w:val="center"/>
              <w:rPr>
                <w:rFonts w:asciiTheme="minorBidi" w:hAnsiTheme="minorBidi"/>
                <w:b/>
                <w:bCs/>
                <w:rtl/>
              </w:rPr>
            </w:pPr>
            <w:r w:rsidRPr="00D86F26">
              <w:rPr>
                <w:rFonts w:asciiTheme="minorBidi" w:hAnsiTheme="minorBidi"/>
                <w:b/>
                <w:bCs/>
                <w:rtl/>
              </w:rPr>
              <w:t>פרק בעלון</w:t>
            </w:r>
          </w:p>
        </w:tc>
        <w:tc>
          <w:tcPr>
            <w:tcW w:w="2841" w:type="dxa"/>
          </w:tcPr>
          <w:p w:rsidR="004005FA" w:rsidRPr="00D86F26" w:rsidRDefault="004005FA" w:rsidP="008A2416">
            <w:pPr>
              <w:jc w:val="center"/>
              <w:rPr>
                <w:rFonts w:asciiTheme="minorBidi" w:hAnsiTheme="minorBidi"/>
                <w:b/>
                <w:bCs/>
                <w:rtl/>
              </w:rPr>
            </w:pPr>
            <w:r w:rsidRPr="00D86F26">
              <w:rPr>
                <w:rFonts w:asciiTheme="minorBidi" w:hAnsiTheme="minorBidi"/>
                <w:b/>
                <w:bCs/>
                <w:rtl/>
              </w:rPr>
              <w:t>טקסט נוכחי</w:t>
            </w:r>
          </w:p>
        </w:tc>
        <w:tc>
          <w:tcPr>
            <w:tcW w:w="2841" w:type="dxa"/>
          </w:tcPr>
          <w:p w:rsidR="004005FA" w:rsidRPr="00D86F26" w:rsidRDefault="004005FA" w:rsidP="008A2416">
            <w:pPr>
              <w:jc w:val="center"/>
              <w:rPr>
                <w:rFonts w:asciiTheme="minorBidi" w:hAnsiTheme="minorBidi"/>
                <w:b/>
                <w:bCs/>
                <w:rtl/>
              </w:rPr>
            </w:pPr>
            <w:r w:rsidRPr="00D86F26">
              <w:rPr>
                <w:rFonts w:asciiTheme="minorBidi" w:hAnsiTheme="minorBidi"/>
                <w:b/>
                <w:bCs/>
                <w:rtl/>
              </w:rPr>
              <w:t>טקסט חדש</w:t>
            </w:r>
          </w:p>
        </w:tc>
      </w:tr>
      <w:tr w:rsidR="004005FA" w:rsidTr="008A2416">
        <w:tc>
          <w:tcPr>
            <w:tcW w:w="2840" w:type="dxa"/>
          </w:tcPr>
          <w:p w:rsidR="004005FA" w:rsidRPr="00D86F26" w:rsidRDefault="004005FA" w:rsidP="008A2416">
            <w:pPr>
              <w:rPr>
                <w:rFonts w:asciiTheme="minorBidi" w:hAnsiTheme="minorBidi"/>
                <w:rtl/>
              </w:rPr>
            </w:pPr>
          </w:p>
          <w:p w:rsidR="004005FA" w:rsidRPr="00D86F26" w:rsidRDefault="004005FA" w:rsidP="008A2416">
            <w:pPr>
              <w:rPr>
                <w:rFonts w:asciiTheme="minorBidi" w:hAnsiTheme="minorBidi"/>
                <w:b/>
                <w:bCs/>
                <w:rtl/>
              </w:rPr>
            </w:pPr>
            <w:r w:rsidRPr="00D86F26">
              <w:rPr>
                <w:rFonts w:asciiTheme="minorBidi" w:hAnsiTheme="minorBidi"/>
                <w:b/>
                <w:bCs/>
                <w:rtl/>
              </w:rPr>
              <w:t>2.לפני השימוש בתרופה -</w:t>
            </w:r>
          </w:p>
          <w:p w:rsidR="004005FA" w:rsidRPr="00D86F26" w:rsidRDefault="004005FA" w:rsidP="008A2416">
            <w:pPr>
              <w:rPr>
                <w:rFonts w:asciiTheme="minorBidi" w:hAnsiTheme="minorBidi"/>
                <w:rtl/>
              </w:rPr>
            </w:pPr>
            <w:r w:rsidRPr="00D86F26">
              <w:rPr>
                <w:rFonts w:asciiTheme="minorBidi" w:hAnsiTheme="minorBidi"/>
                <w:b/>
                <w:bCs/>
                <w:rtl/>
              </w:rPr>
              <w:t>הריון והנקה</w:t>
            </w:r>
          </w:p>
        </w:tc>
        <w:tc>
          <w:tcPr>
            <w:tcW w:w="2841" w:type="dxa"/>
          </w:tcPr>
          <w:p w:rsidR="004005FA" w:rsidRDefault="004005FA" w:rsidP="008A2416">
            <w:pPr>
              <w:autoSpaceDE w:val="0"/>
              <w:autoSpaceDN w:val="0"/>
              <w:adjustRightInd w:val="0"/>
              <w:rPr>
                <w:rFonts w:ascii="Arial" w:hAnsi="Arial" w:cs="Arial"/>
                <w:sz w:val="20"/>
                <w:rtl/>
              </w:rPr>
            </w:pPr>
          </w:p>
          <w:p w:rsidR="004005FA" w:rsidRDefault="004005FA" w:rsidP="008A2416">
            <w:pPr>
              <w:autoSpaceDE w:val="0"/>
              <w:autoSpaceDN w:val="0"/>
              <w:adjustRightInd w:val="0"/>
              <w:rPr>
                <w:rFonts w:ascii="Arial" w:hAnsi="Arial" w:cs="Arial"/>
                <w:sz w:val="20"/>
                <w:rtl/>
              </w:rPr>
            </w:pPr>
            <w:r>
              <w:rPr>
                <w:rFonts w:ascii="Arial" w:hAnsi="Arial" w:cs="Arial" w:hint="cs"/>
                <w:sz w:val="20"/>
                <w:rtl/>
              </w:rPr>
              <w:t>אם הנך בהריון או מניקה יש להיוועץ ברופא או ברוקח לפני השימוש בתרופות.</w:t>
            </w:r>
          </w:p>
          <w:p w:rsidR="004005FA" w:rsidRPr="001E7561" w:rsidRDefault="004005FA" w:rsidP="008A2416">
            <w:pPr>
              <w:autoSpaceDE w:val="0"/>
              <w:autoSpaceDN w:val="0"/>
              <w:adjustRightInd w:val="0"/>
              <w:rPr>
                <w:rFonts w:ascii="Arial" w:hAnsi="Arial" w:cs="Arial"/>
                <w:rtl/>
              </w:rPr>
            </w:pPr>
            <w:r w:rsidRPr="001E7561">
              <w:rPr>
                <w:rFonts w:ascii="Arial" w:hAnsi="Arial" w:cs="Arial" w:hint="cs"/>
                <w:rtl/>
              </w:rPr>
              <w:t>בדרך כלל לא משתמשים בתרופה ב</w:t>
            </w:r>
            <w:r w:rsidRPr="001E7561">
              <w:rPr>
                <w:rFonts w:ascii="Arial" w:hAnsi="Arial" w:cs="Arial"/>
                <w:rtl/>
              </w:rPr>
              <w:t xml:space="preserve">היריון אלא אם </w:t>
            </w:r>
            <w:r w:rsidRPr="001E7561">
              <w:rPr>
                <w:rFonts w:ascii="Arial" w:hAnsi="Arial" w:cs="Arial" w:hint="cs"/>
                <w:rtl/>
              </w:rPr>
              <w:t>התרופה נחוצה מאוד</w:t>
            </w:r>
            <w:r w:rsidRPr="001E7561">
              <w:rPr>
                <w:rFonts w:ascii="Arial" w:hAnsi="Arial" w:cs="Arial"/>
                <w:rtl/>
              </w:rPr>
              <w:t xml:space="preserve">. </w:t>
            </w:r>
            <w:r w:rsidRPr="001E7561">
              <w:rPr>
                <w:rFonts w:ascii="Arial" w:hAnsi="Arial" w:cs="Arial" w:hint="cs"/>
                <w:rtl/>
              </w:rPr>
              <w:t>כיוון שה</w:t>
            </w:r>
            <w:r w:rsidRPr="001E7561">
              <w:rPr>
                <w:rFonts w:ascii="Arial" w:hAnsi="Arial" w:cs="Arial"/>
                <w:rtl/>
              </w:rPr>
              <w:t xml:space="preserve">נתונים </w:t>
            </w:r>
            <w:r w:rsidRPr="001E7561">
              <w:rPr>
                <w:rFonts w:ascii="Arial" w:hAnsi="Arial" w:cs="Arial" w:hint="cs"/>
                <w:rtl/>
              </w:rPr>
              <w:t>ה</w:t>
            </w:r>
            <w:r w:rsidRPr="001E7561">
              <w:rPr>
                <w:rFonts w:ascii="Arial" w:hAnsi="Arial" w:cs="Arial"/>
                <w:rtl/>
              </w:rPr>
              <w:t xml:space="preserve">קליניים לגבי השימוש </w:t>
            </w:r>
            <w:proofErr w:type="spellStart"/>
            <w:r w:rsidRPr="001E7561">
              <w:rPr>
                <w:rFonts w:ascii="Arial" w:hAnsi="Arial" w:cs="Arial"/>
                <w:rtl/>
              </w:rPr>
              <w:t>בויראד</w:t>
            </w:r>
            <w:proofErr w:type="spellEnd"/>
            <w:r w:rsidRPr="001E7561">
              <w:rPr>
                <w:rFonts w:ascii="Arial" w:hAnsi="Arial" w:cs="Arial"/>
                <w:rtl/>
              </w:rPr>
              <w:t xml:space="preserve"> בנשים הרות</w:t>
            </w:r>
            <w:r w:rsidRPr="001E7561">
              <w:rPr>
                <w:rFonts w:ascii="Arial" w:hAnsi="Arial" w:cs="Arial" w:hint="cs"/>
                <w:rtl/>
              </w:rPr>
              <w:t xml:space="preserve"> מוגבלים,</w:t>
            </w:r>
            <w:r w:rsidRPr="001E7561">
              <w:rPr>
                <w:rFonts w:ascii="Arial" w:hAnsi="Arial" w:cs="Arial"/>
                <w:rtl/>
              </w:rPr>
              <w:t xml:space="preserve"> אסור ליטול </w:t>
            </w:r>
            <w:proofErr w:type="spellStart"/>
            <w:r w:rsidRPr="001E7561">
              <w:rPr>
                <w:rFonts w:ascii="Arial" w:hAnsi="Arial" w:cs="Arial"/>
                <w:rtl/>
              </w:rPr>
              <w:t>ויראד</w:t>
            </w:r>
            <w:proofErr w:type="spellEnd"/>
            <w:r w:rsidRPr="001E7561">
              <w:rPr>
                <w:rFonts w:ascii="Arial" w:hAnsi="Arial" w:cs="Arial"/>
                <w:rtl/>
              </w:rPr>
              <w:t xml:space="preserve"> במהלך היריון אלא אם כן שוחחת על כך במפורש עם הרופא.</w:t>
            </w:r>
          </w:p>
          <w:p w:rsidR="004005FA" w:rsidRPr="001E7561" w:rsidRDefault="004005FA" w:rsidP="008A2416">
            <w:pPr>
              <w:autoSpaceDE w:val="0"/>
              <w:autoSpaceDN w:val="0"/>
              <w:adjustRightInd w:val="0"/>
              <w:rPr>
                <w:rFonts w:ascii="Arial" w:hAnsi="Arial" w:cs="Arial"/>
                <w:rtl/>
              </w:rPr>
            </w:pPr>
          </w:p>
          <w:p w:rsidR="004005FA" w:rsidRPr="001E7561" w:rsidRDefault="004005FA" w:rsidP="008A2416">
            <w:pPr>
              <w:autoSpaceDE w:val="0"/>
              <w:autoSpaceDN w:val="0"/>
              <w:adjustRightInd w:val="0"/>
              <w:rPr>
                <w:rFonts w:ascii="Arial" w:hAnsi="Arial" w:cs="Arial"/>
                <w:vertAlign w:val="superscript"/>
                <w:rtl/>
              </w:rPr>
            </w:pPr>
            <w:r w:rsidRPr="001E7561">
              <w:rPr>
                <w:rFonts w:ascii="Arial" w:hAnsi="Arial" w:cs="Arial"/>
                <w:rtl/>
              </w:rPr>
              <w:t xml:space="preserve">נסי להימנע מלהרות במהלך הטיפול </w:t>
            </w:r>
            <w:proofErr w:type="spellStart"/>
            <w:r w:rsidRPr="001E7561">
              <w:rPr>
                <w:rFonts w:ascii="Arial" w:hAnsi="Arial" w:cs="Arial"/>
                <w:rtl/>
              </w:rPr>
              <w:t>בויראד</w:t>
            </w:r>
            <w:proofErr w:type="spellEnd"/>
            <w:r w:rsidRPr="001E7561">
              <w:rPr>
                <w:rFonts w:ascii="Arial" w:hAnsi="Arial" w:cs="Arial"/>
                <w:rtl/>
              </w:rPr>
              <w:t>. עלייך להשתמש באמצעי מניעה יעיל כדי להימנע מלהרות.</w:t>
            </w:r>
          </w:p>
          <w:p w:rsidR="004005FA" w:rsidRPr="001E7561" w:rsidRDefault="004005FA" w:rsidP="008A2416">
            <w:pPr>
              <w:rPr>
                <w:rFonts w:ascii="Arial" w:hAnsi="Arial" w:cs="Arial"/>
                <w:sz w:val="20"/>
                <w:rtl/>
              </w:rPr>
            </w:pPr>
          </w:p>
          <w:p w:rsidR="004005FA" w:rsidRPr="001E7561" w:rsidRDefault="004005FA" w:rsidP="008A2416">
            <w:pPr>
              <w:rPr>
                <w:rFonts w:ascii="Arial" w:hAnsi="Arial" w:cs="Arial"/>
                <w:sz w:val="20"/>
                <w:rtl/>
              </w:rPr>
            </w:pPr>
            <w:r w:rsidRPr="001E7561">
              <w:rPr>
                <w:rFonts w:ascii="Arial" w:hAnsi="Arial" w:cs="Arial" w:hint="cs"/>
                <w:sz w:val="20"/>
                <w:rtl/>
              </w:rPr>
              <w:t xml:space="preserve">אם נכנסת להריון או הנך מתכננת להרות, עליך להתקשר לרופא המטפל כדי לדון אתו בתופעות לוואי אפשריות ובתועלת והסיכון של הטיפול לך ולילדך.   </w:t>
            </w:r>
          </w:p>
          <w:p w:rsidR="004005FA" w:rsidRPr="001E7561" w:rsidRDefault="004005FA" w:rsidP="008A2416">
            <w:pPr>
              <w:rPr>
                <w:rFonts w:ascii="Arial" w:hAnsi="Arial" w:cs="Arial"/>
                <w:sz w:val="20"/>
                <w:rtl/>
              </w:rPr>
            </w:pPr>
          </w:p>
          <w:p w:rsidR="004005FA" w:rsidRPr="00AC73A5" w:rsidRDefault="004005FA" w:rsidP="008A2416">
            <w:pPr>
              <w:rPr>
                <w:rFonts w:ascii="Arial" w:hAnsi="Arial" w:cs="Arial"/>
                <w:color w:val="FF0000"/>
                <w:sz w:val="20"/>
                <w:rtl/>
              </w:rPr>
            </w:pPr>
            <w:r w:rsidRPr="001E7561">
              <w:rPr>
                <w:rFonts w:ascii="Arial" w:hAnsi="Arial" w:cs="Arial" w:hint="cs"/>
                <w:sz w:val="20"/>
                <w:rtl/>
              </w:rPr>
              <w:t xml:space="preserve">אם נטלת </w:t>
            </w:r>
            <w:proofErr w:type="spellStart"/>
            <w:r w:rsidRPr="001E7561">
              <w:rPr>
                <w:rFonts w:ascii="Arial" w:hAnsi="Arial" w:cs="Arial" w:hint="cs"/>
                <w:sz w:val="20"/>
                <w:rtl/>
              </w:rPr>
              <w:t>ויראד</w:t>
            </w:r>
            <w:proofErr w:type="spellEnd"/>
            <w:r w:rsidRPr="001E7561">
              <w:rPr>
                <w:rFonts w:ascii="Arial" w:hAnsi="Arial" w:cs="Arial" w:hint="cs"/>
                <w:sz w:val="20"/>
                <w:rtl/>
              </w:rPr>
              <w:t xml:space="preserve"> במהלך  הריון, יתכן שהרופא המטפל יבקש ממך לבוא לביקורים קבועים על מנת </w:t>
            </w:r>
            <w:proofErr w:type="spellStart"/>
            <w:r w:rsidRPr="001E7561">
              <w:rPr>
                <w:rFonts w:ascii="Arial" w:hAnsi="Arial" w:cs="Arial" w:hint="cs"/>
                <w:sz w:val="20"/>
                <w:rtl/>
              </w:rPr>
              <w:t>לנטר</w:t>
            </w:r>
            <w:proofErr w:type="spellEnd"/>
            <w:r w:rsidRPr="001E7561">
              <w:rPr>
                <w:rFonts w:ascii="Arial" w:hAnsi="Arial" w:cs="Arial" w:hint="cs"/>
                <w:sz w:val="20"/>
                <w:rtl/>
              </w:rPr>
              <w:t xml:space="preserve"> את ההתפתחות של ילדך.</w:t>
            </w:r>
            <w:r>
              <w:rPr>
                <w:rFonts w:ascii="Arial" w:hAnsi="Arial" w:cs="Arial" w:hint="cs"/>
                <w:sz w:val="20"/>
                <w:rtl/>
              </w:rPr>
              <w:t xml:space="preserve"> </w:t>
            </w:r>
          </w:p>
          <w:p w:rsidR="004005FA" w:rsidRPr="00D86F26" w:rsidRDefault="004005FA" w:rsidP="008A2416">
            <w:pPr>
              <w:rPr>
                <w:rFonts w:asciiTheme="minorBidi" w:hAnsiTheme="minorBidi"/>
                <w:rtl/>
              </w:rPr>
            </w:pPr>
          </w:p>
        </w:tc>
        <w:tc>
          <w:tcPr>
            <w:tcW w:w="2841" w:type="dxa"/>
          </w:tcPr>
          <w:p w:rsidR="004005FA" w:rsidRDefault="004005FA" w:rsidP="008A2416">
            <w:pPr>
              <w:autoSpaceDE w:val="0"/>
              <w:autoSpaceDN w:val="0"/>
              <w:adjustRightInd w:val="0"/>
              <w:rPr>
                <w:rFonts w:ascii="Arial" w:hAnsi="Arial" w:cs="Arial"/>
                <w:sz w:val="20"/>
                <w:rtl/>
              </w:rPr>
            </w:pPr>
          </w:p>
          <w:p w:rsidR="004005FA" w:rsidRDefault="004005FA" w:rsidP="008A2416">
            <w:pPr>
              <w:autoSpaceDE w:val="0"/>
              <w:autoSpaceDN w:val="0"/>
              <w:adjustRightInd w:val="0"/>
              <w:rPr>
                <w:rFonts w:ascii="Arial" w:hAnsi="Arial" w:cs="Arial"/>
                <w:sz w:val="20"/>
                <w:rtl/>
              </w:rPr>
            </w:pPr>
            <w:r>
              <w:rPr>
                <w:rFonts w:ascii="Arial" w:hAnsi="Arial" w:cs="Arial" w:hint="cs"/>
                <w:sz w:val="20"/>
                <w:rtl/>
              </w:rPr>
              <w:t>אם הנך בהריון או מניקה יש להיוועץ ברופא או ברוקח לפני השימוש בתרופות.</w:t>
            </w:r>
          </w:p>
          <w:p w:rsidR="004005FA" w:rsidRPr="001E7561" w:rsidRDefault="004005FA" w:rsidP="008A2416">
            <w:pPr>
              <w:autoSpaceDE w:val="0"/>
              <w:autoSpaceDN w:val="0"/>
              <w:adjustRightInd w:val="0"/>
              <w:rPr>
                <w:rFonts w:ascii="Arial" w:hAnsi="Arial" w:cs="Arial"/>
                <w:rtl/>
              </w:rPr>
            </w:pPr>
            <w:r w:rsidRPr="001E7561">
              <w:rPr>
                <w:rFonts w:ascii="Arial" w:hAnsi="Arial" w:cs="Arial" w:hint="cs"/>
                <w:rtl/>
              </w:rPr>
              <w:t>בדרך כלל לא משתמשים בתרופה ב</w:t>
            </w:r>
            <w:r w:rsidRPr="001E7561">
              <w:rPr>
                <w:rFonts w:ascii="Arial" w:hAnsi="Arial" w:cs="Arial"/>
                <w:rtl/>
              </w:rPr>
              <w:t xml:space="preserve">היריון אלא אם </w:t>
            </w:r>
            <w:r w:rsidRPr="001E7561">
              <w:rPr>
                <w:rFonts w:ascii="Arial" w:hAnsi="Arial" w:cs="Arial" w:hint="cs"/>
                <w:rtl/>
              </w:rPr>
              <w:t>התרופה נחוצה מאוד</w:t>
            </w:r>
            <w:r w:rsidRPr="001E7561">
              <w:rPr>
                <w:rFonts w:ascii="Arial" w:hAnsi="Arial" w:cs="Arial"/>
                <w:rtl/>
              </w:rPr>
              <w:t xml:space="preserve">. </w:t>
            </w:r>
            <w:r w:rsidRPr="001E7561">
              <w:rPr>
                <w:rFonts w:ascii="Arial" w:hAnsi="Arial" w:cs="Arial" w:hint="cs"/>
                <w:rtl/>
              </w:rPr>
              <w:t>כיוון שה</w:t>
            </w:r>
            <w:r w:rsidRPr="001E7561">
              <w:rPr>
                <w:rFonts w:ascii="Arial" w:hAnsi="Arial" w:cs="Arial"/>
                <w:rtl/>
              </w:rPr>
              <w:t xml:space="preserve">נתונים </w:t>
            </w:r>
            <w:r w:rsidRPr="001E7561">
              <w:rPr>
                <w:rFonts w:ascii="Arial" w:hAnsi="Arial" w:cs="Arial" w:hint="cs"/>
                <w:rtl/>
              </w:rPr>
              <w:t>ה</w:t>
            </w:r>
            <w:r w:rsidRPr="001E7561">
              <w:rPr>
                <w:rFonts w:ascii="Arial" w:hAnsi="Arial" w:cs="Arial"/>
                <w:rtl/>
              </w:rPr>
              <w:t xml:space="preserve">קליניים לגבי השימוש </w:t>
            </w:r>
            <w:proofErr w:type="spellStart"/>
            <w:r w:rsidRPr="001E7561">
              <w:rPr>
                <w:rFonts w:ascii="Arial" w:hAnsi="Arial" w:cs="Arial"/>
                <w:rtl/>
              </w:rPr>
              <w:t>בויראד</w:t>
            </w:r>
            <w:proofErr w:type="spellEnd"/>
            <w:r w:rsidRPr="001E7561">
              <w:rPr>
                <w:rFonts w:ascii="Arial" w:hAnsi="Arial" w:cs="Arial"/>
                <w:rtl/>
              </w:rPr>
              <w:t xml:space="preserve"> בנשים הרות</w:t>
            </w:r>
            <w:r w:rsidRPr="001E7561">
              <w:rPr>
                <w:rFonts w:ascii="Arial" w:hAnsi="Arial" w:cs="Arial" w:hint="cs"/>
                <w:rtl/>
              </w:rPr>
              <w:t xml:space="preserve"> מוגבלים,</w:t>
            </w:r>
            <w:r w:rsidRPr="001E7561">
              <w:rPr>
                <w:rFonts w:ascii="Arial" w:hAnsi="Arial" w:cs="Arial"/>
                <w:rtl/>
              </w:rPr>
              <w:t xml:space="preserve"> אסור ליטול </w:t>
            </w:r>
            <w:proofErr w:type="spellStart"/>
            <w:r w:rsidRPr="001E7561">
              <w:rPr>
                <w:rFonts w:ascii="Arial" w:hAnsi="Arial" w:cs="Arial"/>
                <w:rtl/>
              </w:rPr>
              <w:t>ויראד</w:t>
            </w:r>
            <w:proofErr w:type="spellEnd"/>
            <w:r w:rsidRPr="001E7561">
              <w:rPr>
                <w:rFonts w:ascii="Arial" w:hAnsi="Arial" w:cs="Arial"/>
                <w:rtl/>
              </w:rPr>
              <w:t xml:space="preserve"> במהלך היריון אלא אם כן שוחחת על כך במפורש עם הרופא.</w:t>
            </w:r>
          </w:p>
          <w:p w:rsidR="004005FA" w:rsidRPr="001E7561" w:rsidRDefault="004005FA" w:rsidP="008A2416">
            <w:pPr>
              <w:autoSpaceDE w:val="0"/>
              <w:autoSpaceDN w:val="0"/>
              <w:adjustRightInd w:val="0"/>
              <w:rPr>
                <w:rFonts w:ascii="Arial" w:hAnsi="Arial" w:cs="Arial"/>
                <w:rtl/>
              </w:rPr>
            </w:pPr>
          </w:p>
          <w:p w:rsidR="004005FA" w:rsidRPr="001E7561" w:rsidRDefault="004005FA" w:rsidP="008A2416">
            <w:pPr>
              <w:autoSpaceDE w:val="0"/>
              <w:autoSpaceDN w:val="0"/>
              <w:adjustRightInd w:val="0"/>
              <w:rPr>
                <w:rFonts w:ascii="Arial" w:hAnsi="Arial" w:cs="Arial"/>
                <w:vertAlign w:val="superscript"/>
                <w:rtl/>
              </w:rPr>
            </w:pPr>
            <w:r w:rsidRPr="001E7561">
              <w:rPr>
                <w:rFonts w:ascii="Arial" w:hAnsi="Arial" w:cs="Arial"/>
                <w:rtl/>
              </w:rPr>
              <w:t xml:space="preserve">נסי להימנע מלהרות במהלך הטיפול </w:t>
            </w:r>
            <w:proofErr w:type="spellStart"/>
            <w:r w:rsidRPr="001E7561">
              <w:rPr>
                <w:rFonts w:ascii="Arial" w:hAnsi="Arial" w:cs="Arial"/>
                <w:rtl/>
              </w:rPr>
              <w:t>בויראד</w:t>
            </w:r>
            <w:proofErr w:type="spellEnd"/>
            <w:r w:rsidRPr="001E7561">
              <w:rPr>
                <w:rFonts w:ascii="Arial" w:hAnsi="Arial" w:cs="Arial"/>
                <w:rtl/>
              </w:rPr>
              <w:t>. עלייך להשתמש באמצעי מניעה יעיל כדי להימנע מלהרות.</w:t>
            </w:r>
          </w:p>
          <w:p w:rsidR="004005FA" w:rsidRPr="001E7561" w:rsidRDefault="004005FA" w:rsidP="008A2416">
            <w:pPr>
              <w:rPr>
                <w:rFonts w:ascii="Arial" w:hAnsi="Arial" w:cs="Arial"/>
                <w:sz w:val="20"/>
                <w:rtl/>
              </w:rPr>
            </w:pPr>
          </w:p>
          <w:p w:rsidR="004005FA" w:rsidRPr="001E7561" w:rsidRDefault="004005FA" w:rsidP="008A2416">
            <w:pPr>
              <w:rPr>
                <w:rFonts w:ascii="Arial" w:hAnsi="Arial" w:cs="Arial"/>
                <w:sz w:val="20"/>
                <w:rtl/>
              </w:rPr>
            </w:pPr>
            <w:r w:rsidRPr="001E7561">
              <w:rPr>
                <w:rFonts w:ascii="Arial" w:hAnsi="Arial" w:cs="Arial" w:hint="cs"/>
                <w:sz w:val="20"/>
                <w:rtl/>
              </w:rPr>
              <w:t xml:space="preserve">אם נכנסת להריון או הנך מתכננת להרות, עליך להתקשר לרופא המטפל כדי לדון אתו בתופעות לוואי אפשריות ובתועלת והסיכון של הטיפול לך ולילדך.   </w:t>
            </w:r>
          </w:p>
          <w:p w:rsidR="004005FA" w:rsidRPr="001E7561" w:rsidRDefault="004005FA" w:rsidP="008A2416">
            <w:pPr>
              <w:rPr>
                <w:rFonts w:ascii="Arial" w:hAnsi="Arial" w:cs="Arial"/>
                <w:sz w:val="20"/>
                <w:rtl/>
              </w:rPr>
            </w:pPr>
          </w:p>
          <w:p w:rsidR="004005FA" w:rsidRPr="00AC73A5" w:rsidRDefault="004005FA" w:rsidP="008A2416">
            <w:pPr>
              <w:rPr>
                <w:rFonts w:ascii="Arial" w:hAnsi="Arial" w:cs="Arial"/>
                <w:color w:val="FF0000"/>
                <w:sz w:val="20"/>
                <w:rtl/>
              </w:rPr>
            </w:pPr>
            <w:r w:rsidRPr="001E7561">
              <w:rPr>
                <w:rFonts w:ascii="Arial" w:hAnsi="Arial" w:cs="Arial" w:hint="cs"/>
                <w:sz w:val="20"/>
                <w:rtl/>
              </w:rPr>
              <w:t xml:space="preserve">אם נטלת </w:t>
            </w:r>
            <w:proofErr w:type="spellStart"/>
            <w:r w:rsidRPr="001E7561">
              <w:rPr>
                <w:rFonts w:ascii="Arial" w:hAnsi="Arial" w:cs="Arial" w:hint="cs"/>
                <w:sz w:val="20"/>
                <w:rtl/>
              </w:rPr>
              <w:t>ויראד</w:t>
            </w:r>
            <w:proofErr w:type="spellEnd"/>
            <w:r w:rsidRPr="001E7561">
              <w:rPr>
                <w:rFonts w:ascii="Arial" w:hAnsi="Arial" w:cs="Arial" w:hint="cs"/>
                <w:sz w:val="20"/>
                <w:rtl/>
              </w:rPr>
              <w:t xml:space="preserve"> במהלך  הריון, יתכן שהרופא המטפל יבקש ממך לבוא לביקורים קבועים על מנת </w:t>
            </w:r>
            <w:proofErr w:type="spellStart"/>
            <w:r w:rsidRPr="001E7561">
              <w:rPr>
                <w:rFonts w:ascii="Arial" w:hAnsi="Arial" w:cs="Arial" w:hint="cs"/>
                <w:sz w:val="20"/>
                <w:rtl/>
              </w:rPr>
              <w:t>לנטר</w:t>
            </w:r>
            <w:proofErr w:type="spellEnd"/>
            <w:r w:rsidRPr="001E7561">
              <w:rPr>
                <w:rFonts w:ascii="Arial" w:hAnsi="Arial" w:cs="Arial" w:hint="cs"/>
                <w:sz w:val="20"/>
                <w:rtl/>
              </w:rPr>
              <w:t xml:space="preserve"> את ההתפתחות של ילדך.</w:t>
            </w:r>
            <w:r w:rsidRPr="00D86F26">
              <w:rPr>
                <w:rFonts w:ascii="Arial" w:hAnsi="Arial" w:cs="Arial" w:hint="cs"/>
                <w:sz w:val="20"/>
                <w:rtl/>
              </w:rPr>
              <w:t xml:space="preserve"> </w:t>
            </w:r>
            <w:r w:rsidRPr="00D86F26">
              <w:rPr>
                <w:rFonts w:ascii="Arial" w:hAnsi="Arial" w:cs="Arial" w:hint="cs"/>
                <w:sz w:val="20"/>
                <w:highlight w:val="yellow"/>
                <w:rtl/>
              </w:rPr>
              <w:t xml:space="preserve">בילדים </w:t>
            </w:r>
            <w:proofErr w:type="spellStart"/>
            <w:r w:rsidRPr="00D86F26">
              <w:rPr>
                <w:rFonts w:ascii="Arial" w:hAnsi="Arial" w:cs="Arial" w:hint="cs"/>
                <w:sz w:val="20"/>
                <w:highlight w:val="yellow"/>
                <w:rtl/>
              </w:rPr>
              <w:t>לאמהות</w:t>
            </w:r>
            <w:proofErr w:type="spellEnd"/>
            <w:r w:rsidRPr="00D86F26">
              <w:rPr>
                <w:rFonts w:ascii="Arial" w:hAnsi="Arial" w:cs="Arial" w:hint="cs"/>
                <w:sz w:val="20"/>
                <w:highlight w:val="yellow"/>
                <w:rtl/>
              </w:rPr>
              <w:t xml:space="preserve"> שנטלו תרופות כמו </w:t>
            </w:r>
            <w:proofErr w:type="spellStart"/>
            <w:r w:rsidRPr="00D86F26">
              <w:rPr>
                <w:rFonts w:ascii="Arial" w:hAnsi="Arial" w:cs="Arial" w:hint="cs"/>
                <w:sz w:val="20"/>
                <w:highlight w:val="yellow"/>
                <w:rtl/>
              </w:rPr>
              <w:t>ויראד</w:t>
            </w:r>
            <w:proofErr w:type="spellEnd"/>
            <w:r w:rsidRPr="00D86F26">
              <w:rPr>
                <w:rFonts w:ascii="Arial" w:hAnsi="Arial" w:cs="Arial" w:hint="cs"/>
                <w:sz w:val="20"/>
                <w:highlight w:val="yellow"/>
                <w:rtl/>
              </w:rPr>
              <w:t xml:space="preserve">  (</w:t>
            </w:r>
            <w:r w:rsidRPr="00D86F26">
              <w:rPr>
                <w:rFonts w:ascii="Arial" w:hAnsi="Arial" w:cs="Arial"/>
                <w:sz w:val="20"/>
                <w:highlight w:val="yellow"/>
              </w:rPr>
              <w:t>NRTIS</w:t>
            </w:r>
            <w:r w:rsidRPr="00D86F26">
              <w:rPr>
                <w:rFonts w:ascii="Arial" w:hAnsi="Arial" w:cs="Arial" w:hint="cs"/>
                <w:sz w:val="20"/>
                <w:highlight w:val="yellow"/>
                <w:rtl/>
              </w:rPr>
              <w:t>-</w:t>
            </w:r>
            <w:r w:rsidRPr="00D86F26">
              <w:rPr>
                <w:rFonts w:ascii="Arial" w:hAnsi="Arial" w:cs="Arial"/>
                <w:sz w:val="20"/>
                <w:highlight w:val="yellow"/>
              </w:rPr>
              <w:t xml:space="preserve"> </w:t>
            </w:r>
            <w:r w:rsidRPr="00D86F26">
              <w:rPr>
                <w:rFonts w:ascii="Arial" w:hAnsi="Arial" w:cs="Arial" w:hint="cs"/>
                <w:sz w:val="20"/>
                <w:highlight w:val="yellow"/>
                <w:rtl/>
              </w:rPr>
              <w:t xml:space="preserve"> מעכבי </w:t>
            </w:r>
            <w:proofErr w:type="spellStart"/>
            <w:r w:rsidRPr="00D86F26">
              <w:rPr>
                <w:rFonts w:ascii="Arial" w:hAnsi="Arial" w:cs="Arial" w:hint="cs"/>
                <w:sz w:val="20"/>
                <w:highlight w:val="yellow"/>
                <w:rtl/>
              </w:rPr>
              <w:t>רוורס</w:t>
            </w:r>
            <w:proofErr w:type="spellEnd"/>
            <w:r w:rsidRPr="00D86F26">
              <w:rPr>
                <w:rFonts w:ascii="Arial" w:hAnsi="Arial" w:cs="Arial" w:hint="cs"/>
                <w:sz w:val="20"/>
                <w:highlight w:val="yellow"/>
                <w:rtl/>
              </w:rPr>
              <w:t xml:space="preserve"> </w:t>
            </w:r>
            <w:proofErr w:type="spellStart"/>
            <w:r w:rsidRPr="00D86F26">
              <w:rPr>
                <w:rFonts w:ascii="Arial" w:hAnsi="Arial" w:cs="Arial" w:hint="cs"/>
                <w:sz w:val="20"/>
                <w:highlight w:val="yellow"/>
                <w:rtl/>
              </w:rPr>
              <w:t>טרנסקריפטאז</w:t>
            </w:r>
            <w:proofErr w:type="spellEnd"/>
            <w:r w:rsidRPr="00D86F26">
              <w:rPr>
                <w:rFonts w:ascii="Arial" w:hAnsi="Arial" w:cs="Arial" w:hint="cs"/>
                <w:sz w:val="20"/>
                <w:highlight w:val="yellow"/>
                <w:rtl/>
              </w:rPr>
              <w:t xml:space="preserve">) במהלך </w:t>
            </w:r>
            <w:proofErr w:type="spellStart"/>
            <w:r w:rsidRPr="00D86F26">
              <w:rPr>
                <w:rFonts w:ascii="Arial" w:hAnsi="Arial" w:cs="Arial" w:hint="cs"/>
                <w:sz w:val="20"/>
                <w:highlight w:val="yellow"/>
                <w:rtl/>
              </w:rPr>
              <w:t>ההריון</w:t>
            </w:r>
            <w:proofErr w:type="spellEnd"/>
            <w:r w:rsidRPr="00D86F26">
              <w:rPr>
                <w:rFonts w:ascii="Arial" w:hAnsi="Arial" w:cs="Arial" w:hint="cs"/>
                <w:sz w:val="20"/>
                <w:highlight w:val="yellow"/>
                <w:rtl/>
              </w:rPr>
              <w:t xml:space="preserve">, היתרון בהגנה נגד </w:t>
            </w:r>
            <w:proofErr w:type="spellStart"/>
            <w:r w:rsidRPr="00D86F26">
              <w:rPr>
                <w:rFonts w:ascii="Arial" w:hAnsi="Arial" w:cs="Arial" w:hint="cs"/>
                <w:sz w:val="20"/>
                <w:highlight w:val="yellow"/>
                <w:rtl/>
              </w:rPr>
              <w:t>הוירוס</w:t>
            </w:r>
            <w:proofErr w:type="spellEnd"/>
            <w:r w:rsidRPr="00D86F26">
              <w:rPr>
                <w:rFonts w:ascii="Arial" w:hAnsi="Arial" w:cs="Arial" w:hint="cs"/>
                <w:sz w:val="20"/>
                <w:highlight w:val="yellow"/>
                <w:rtl/>
              </w:rPr>
              <w:t xml:space="preserve"> עולה על הסיכון לחוות תופעות לוואי.</w:t>
            </w:r>
            <w:r w:rsidRPr="00D86F26">
              <w:rPr>
                <w:rFonts w:ascii="Arial" w:hAnsi="Arial" w:cs="Arial" w:hint="cs"/>
                <w:sz w:val="20"/>
                <w:rtl/>
              </w:rPr>
              <w:t xml:space="preserve">   </w:t>
            </w:r>
          </w:p>
          <w:p w:rsidR="004005FA" w:rsidRPr="001E7561" w:rsidRDefault="004005FA" w:rsidP="008A2416">
            <w:pPr>
              <w:rPr>
                <w:rFonts w:ascii="Arial" w:hAnsi="Arial" w:cs="Arial"/>
                <w:sz w:val="20"/>
                <w:rtl/>
              </w:rPr>
            </w:pPr>
          </w:p>
          <w:p w:rsidR="004005FA" w:rsidRPr="00D86F26" w:rsidRDefault="004005FA" w:rsidP="008A2416">
            <w:pPr>
              <w:rPr>
                <w:rFonts w:asciiTheme="minorBidi" w:hAnsiTheme="minorBidi"/>
                <w:rtl/>
              </w:rPr>
            </w:pPr>
          </w:p>
        </w:tc>
      </w:tr>
      <w:tr w:rsidR="004005FA" w:rsidTr="008A2416">
        <w:tc>
          <w:tcPr>
            <w:tcW w:w="2840" w:type="dxa"/>
          </w:tcPr>
          <w:p w:rsidR="004005FA" w:rsidRDefault="004005FA" w:rsidP="008A2416">
            <w:pPr>
              <w:rPr>
                <w:rFonts w:cs="David"/>
                <w:rtl/>
              </w:rPr>
            </w:pPr>
          </w:p>
          <w:p w:rsidR="004005FA" w:rsidRPr="00D86F26" w:rsidRDefault="004005FA" w:rsidP="008A2416">
            <w:pPr>
              <w:rPr>
                <w:rFonts w:asciiTheme="minorBidi" w:hAnsiTheme="minorBidi"/>
                <w:b/>
                <w:bCs/>
                <w:rtl/>
              </w:rPr>
            </w:pPr>
            <w:r>
              <w:rPr>
                <w:rFonts w:asciiTheme="minorBidi" w:hAnsiTheme="minorBidi" w:hint="cs"/>
                <w:b/>
                <w:bCs/>
                <w:rtl/>
              </w:rPr>
              <w:t>3.</w:t>
            </w:r>
            <w:r w:rsidRPr="00D86F26">
              <w:rPr>
                <w:rFonts w:asciiTheme="minorBidi" w:hAnsiTheme="minorBidi"/>
                <w:b/>
                <w:bCs/>
                <w:rtl/>
              </w:rPr>
              <w:t>כיצד תשתמש בתרופה -</w:t>
            </w:r>
          </w:p>
          <w:p w:rsidR="004005FA" w:rsidRPr="008F78D1" w:rsidRDefault="004005FA" w:rsidP="008A2416">
            <w:pPr>
              <w:rPr>
                <w:rFonts w:cs="David"/>
                <w:rtl/>
              </w:rPr>
            </w:pPr>
            <w:r w:rsidRPr="00D86F26">
              <w:rPr>
                <w:rFonts w:asciiTheme="minorBidi" w:hAnsiTheme="minorBidi"/>
                <w:b/>
                <w:bCs/>
                <w:rtl/>
              </w:rPr>
              <w:t>אם אתה מפסיק את נטילת התרופה</w:t>
            </w:r>
          </w:p>
        </w:tc>
        <w:tc>
          <w:tcPr>
            <w:tcW w:w="2841" w:type="dxa"/>
          </w:tcPr>
          <w:p w:rsidR="004005FA" w:rsidRDefault="004005FA" w:rsidP="008A2416">
            <w:pPr>
              <w:rPr>
                <w:rFonts w:ascii="Arial" w:hAnsi="Arial" w:cs="Arial"/>
                <w:b/>
                <w:bCs/>
                <w:sz w:val="20"/>
                <w:rtl/>
              </w:rPr>
            </w:pPr>
          </w:p>
          <w:p w:rsidR="004005FA" w:rsidRPr="008F78D1" w:rsidRDefault="004005FA" w:rsidP="008A2416">
            <w:pPr>
              <w:ind w:left="720"/>
              <w:rPr>
                <w:rFonts w:cs="David"/>
                <w:rtl/>
              </w:rPr>
            </w:pPr>
          </w:p>
        </w:tc>
        <w:tc>
          <w:tcPr>
            <w:tcW w:w="2841" w:type="dxa"/>
          </w:tcPr>
          <w:p w:rsidR="004005FA" w:rsidRPr="00D86F26" w:rsidRDefault="004005FA" w:rsidP="008A2416">
            <w:pPr>
              <w:rPr>
                <w:rFonts w:ascii="Arial" w:hAnsi="Arial" w:cs="Arial"/>
                <w:b/>
                <w:bCs/>
                <w:sz w:val="20"/>
                <w:rtl/>
              </w:rPr>
            </w:pPr>
          </w:p>
          <w:p w:rsidR="004005FA" w:rsidRPr="00D86F26" w:rsidRDefault="004005FA" w:rsidP="008A2416">
            <w:pPr>
              <w:rPr>
                <w:rFonts w:ascii="Arial" w:hAnsi="Arial" w:cs="Arial"/>
                <w:b/>
                <w:bCs/>
                <w:sz w:val="20"/>
                <w:highlight w:val="yellow"/>
                <w:rtl/>
              </w:rPr>
            </w:pPr>
            <w:r w:rsidRPr="00D86F26">
              <w:rPr>
                <w:rFonts w:ascii="Arial" w:hAnsi="Arial" w:cs="Arial" w:hint="cs"/>
                <w:b/>
                <w:bCs/>
                <w:sz w:val="20"/>
                <w:highlight w:val="yellow"/>
                <w:rtl/>
              </w:rPr>
              <w:t>אם אתה מפסיק את נטילת התרופה:</w:t>
            </w:r>
          </w:p>
          <w:p w:rsidR="004005FA" w:rsidRPr="00D86F26" w:rsidRDefault="004005FA" w:rsidP="008A2416">
            <w:pPr>
              <w:rPr>
                <w:rFonts w:ascii="Arial" w:hAnsi="Arial" w:cs="Arial"/>
                <w:sz w:val="20"/>
                <w:highlight w:val="yellow"/>
              </w:rPr>
            </w:pPr>
            <w:r w:rsidRPr="00D86F26">
              <w:rPr>
                <w:rFonts w:ascii="Arial" w:hAnsi="Arial" w:cs="Arial" w:hint="cs"/>
                <w:sz w:val="20"/>
                <w:highlight w:val="yellow"/>
                <w:rtl/>
              </w:rPr>
              <w:t xml:space="preserve">אל תפסיק ליטול את התרופה מבלי שהתייעצת עם הרופא. הפסקת הטיפול </w:t>
            </w:r>
            <w:proofErr w:type="spellStart"/>
            <w:r w:rsidRPr="00D86F26">
              <w:rPr>
                <w:rFonts w:ascii="Arial" w:hAnsi="Arial" w:cs="Arial" w:hint="cs"/>
                <w:sz w:val="20"/>
                <w:highlight w:val="yellow"/>
                <w:rtl/>
              </w:rPr>
              <w:t>בויראד</w:t>
            </w:r>
            <w:proofErr w:type="spellEnd"/>
            <w:r w:rsidRPr="00D86F26">
              <w:rPr>
                <w:rFonts w:ascii="Arial" w:hAnsi="Arial" w:cs="Arial" w:hint="cs"/>
                <w:sz w:val="20"/>
                <w:highlight w:val="yellow"/>
                <w:rtl/>
              </w:rPr>
              <w:t xml:space="preserve"> עלולה להפחית את יעילות הטיפול </w:t>
            </w:r>
            <w:r w:rsidRPr="00D86F26">
              <w:rPr>
                <w:rFonts w:ascii="Arial" w:hAnsi="Arial" w:cs="Arial" w:hint="cs"/>
                <w:sz w:val="20"/>
                <w:highlight w:val="yellow"/>
                <w:rtl/>
              </w:rPr>
              <w:lastRenderedPageBreak/>
              <w:t xml:space="preserve">שהומלץ ע"י הרופא שלך. </w:t>
            </w:r>
          </w:p>
          <w:p w:rsidR="004005FA" w:rsidRPr="00D86F26" w:rsidRDefault="004005FA" w:rsidP="008A2416">
            <w:pPr>
              <w:ind w:left="720"/>
              <w:rPr>
                <w:rFonts w:ascii="Arial" w:hAnsi="Arial" w:cs="Arial"/>
                <w:sz w:val="20"/>
                <w:highlight w:val="yellow"/>
              </w:rPr>
            </w:pPr>
          </w:p>
          <w:p w:rsidR="004005FA" w:rsidRPr="00D86F26" w:rsidRDefault="004005FA" w:rsidP="008A2416">
            <w:pPr>
              <w:rPr>
                <w:rFonts w:ascii="Arial" w:hAnsi="Arial" w:cs="Arial"/>
                <w:sz w:val="20"/>
                <w:highlight w:val="yellow"/>
              </w:rPr>
            </w:pPr>
            <w:r w:rsidRPr="00D86F26">
              <w:rPr>
                <w:rFonts w:ascii="Arial" w:hAnsi="Arial" w:cs="Arial" w:hint="cs"/>
                <w:b/>
                <w:bCs/>
                <w:sz w:val="20"/>
                <w:highlight w:val="yellow"/>
                <w:rtl/>
              </w:rPr>
              <w:t xml:space="preserve">אם אתה סובל מהפטיטיס </w:t>
            </w:r>
            <w:r w:rsidRPr="00D86F26">
              <w:rPr>
                <w:rFonts w:ascii="Arial" w:hAnsi="Arial" w:cs="Arial"/>
                <w:b/>
                <w:bCs/>
                <w:sz w:val="20"/>
                <w:highlight w:val="yellow"/>
              </w:rPr>
              <w:t>B</w:t>
            </w:r>
            <w:r w:rsidRPr="00D86F26">
              <w:rPr>
                <w:rFonts w:ascii="Arial" w:hAnsi="Arial" w:cs="Arial" w:hint="cs"/>
                <w:b/>
                <w:bCs/>
                <w:sz w:val="20"/>
                <w:highlight w:val="yellow"/>
                <w:rtl/>
              </w:rPr>
              <w:t xml:space="preserve"> או </w:t>
            </w:r>
            <w:r w:rsidRPr="00D86F26">
              <w:rPr>
                <w:rFonts w:ascii="Arial" w:hAnsi="Arial" w:cs="Arial"/>
                <w:b/>
                <w:bCs/>
                <w:sz w:val="20"/>
                <w:highlight w:val="yellow"/>
              </w:rPr>
              <w:t>HIV</w:t>
            </w:r>
            <w:r w:rsidRPr="00D86F26">
              <w:rPr>
                <w:rFonts w:ascii="Arial" w:hAnsi="Arial" w:cs="Arial" w:hint="cs"/>
                <w:b/>
                <w:bCs/>
                <w:sz w:val="20"/>
                <w:highlight w:val="yellow"/>
                <w:rtl/>
              </w:rPr>
              <w:t xml:space="preserve"> והפטיטיס </w:t>
            </w:r>
            <w:r w:rsidRPr="00D86F26">
              <w:rPr>
                <w:rFonts w:ascii="Arial" w:hAnsi="Arial" w:cs="Arial"/>
                <w:b/>
                <w:bCs/>
                <w:sz w:val="20"/>
                <w:highlight w:val="yellow"/>
              </w:rPr>
              <w:t xml:space="preserve">B </w:t>
            </w:r>
            <w:r w:rsidRPr="00D86F26">
              <w:rPr>
                <w:rFonts w:ascii="Arial" w:hAnsi="Arial" w:cs="Arial" w:hint="cs"/>
                <w:b/>
                <w:bCs/>
                <w:sz w:val="20"/>
                <w:highlight w:val="yellow"/>
                <w:rtl/>
              </w:rPr>
              <w:t xml:space="preserve"> יחד (זיהום מקביל)</w:t>
            </w:r>
            <w:r w:rsidRPr="00D86F26">
              <w:rPr>
                <w:rFonts w:ascii="Arial" w:hAnsi="Arial" w:cs="Arial" w:hint="cs"/>
                <w:sz w:val="20"/>
                <w:highlight w:val="yellow"/>
                <w:rtl/>
              </w:rPr>
              <w:t xml:space="preserve">, חשוב מאוד שלא תפסיק את הטיפול </w:t>
            </w:r>
            <w:proofErr w:type="spellStart"/>
            <w:r w:rsidRPr="00D86F26">
              <w:rPr>
                <w:rFonts w:ascii="Arial" w:hAnsi="Arial" w:cs="Arial" w:hint="cs"/>
                <w:sz w:val="20"/>
                <w:highlight w:val="yellow"/>
                <w:rtl/>
              </w:rPr>
              <w:t>בויראד</w:t>
            </w:r>
            <w:proofErr w:type="spellEnd"/>
            <w:r w:rsidRPr="00D86F26">
              <w:rPr>
                <w:rFonts w:ascii="Arial" w:hAnsi="Arial" w:cs="Arial" w:hint="cs"/>
                <w:sz w:val="20"/>
                <w:highlight w:val="yellow"/>
                <w:rtl/>
              </w:rPr>
              <w:t xml:space="preserve"> מבלי ששוחחת עם הרופא שלך קודם לכן. אצל חלק מהחולים שהפסיקו ליטול את </w:t>
            </w:r>
            <w:proofErr w:type="spellStart"/>
            <w:r w:rsidRPr="00D86F26">
              <w:rPr>
                <w:rFonts w:ascii="Arial" w:hAnsi="Arial" w:cs="Arial" w:hint="cs"/>
                <w:sz w:val="20"/>
                <w:highlight w:val="yellow"/>
                <w:rtl/>
              </w:rPr>
              <w:t>ויראד</w:t>
            </w:r>
            <w:proofErr w:type="spellEnd"/>
            <w:r w:rsidRPr="00D86F26">
              <w:rPr>
                <w:rFonts w:ascii="Arial" w:hAnsi="Arial" w:cs="Arial" w:hint="cs"/>
                <w:sz w:val="20"/>
                <w:highlight w:val="yellow"/>
                <w:rtl/>
              </w:rPr>
              <w:t xml:space="preserve"> הופיעה החמרה בהפטיטיס שנצפתה בבדיקות דם או בתסמינים שחוו החולים. ייתכן שתידרש לעבור בדיקות דם במשך מספר חודשים לאחר הפסקת הטיפול. בחלק מהחולים הסובלים ממחלת כבד מתקדמת או צירוזיס (שחמת הכבד), הפסקת הטיפול התרופתי איננה מומלצת  מאחר ועלולה להוביל להחמרה בהפטיטיס.</w:t>
            </w:r>
          </w:p>
          <w:p w:rsidR="004005FA" w:rsidRPr="00D86F26" w:rsidRDefault="004005FA" w:rsidP="008A2416">
            <w:pPr>
              <w:pStyle w:val="ListParagraph"/>
              <w:rPr>
                <w:rFonts w:ascii="Arial" w:hAnsi="Arial" w:cs="Arial"/>
                <w:noProof w:val="0"/>
                <w:sz w:val="20"/>
                <w:szCs w:val="22"/>
                <w:highlight w:val="yellow"/>
                <w:rtl/>
              </w:rPr>
            </w:pPr>
          </w:p>
          <w:p w:rsidR="004005FA" w:rsidRPr="00D86F26" w:rsidRDefault="004005FA" w:rsidP="008A2416">
            <w:pPr>
              <w:numPr>
                <w:ilvl w:val="0"/>
                <w:numId w:val="1"/>
              </w:numPr>
              <w:rPr>
                <w:rFonts w:ascii="Arial" w:hAnsi="Arial" w:cs="Arial"/>
                <w:sz w:val="20"/>
                <w:highlight w:val="yellow"/>
              </w:rPr>
            </w:pPr>
            <w:r w:rsidRPr="00D86F26">
              <w:rPr>
                <w:rFonts w:ascii="Arial" w:hAnsi="Arial" w:cs="Arial" w:hint="cs"/>
                <w:sz w:val="20"/>
                <w:highlight w:val="yellow"/>
                <w:rtl/>
              </w:rPr>
              <w:t xml:space="preserve">שוחח עם הרופא לפני שאתה מפסיק ליטול את </w:t>
            </w:r>
            <w:proofErr w:type="spellStart"/>
            <w:r w:rsidRPr="00D86F26">
              <w:rPr>
                <w:rFonts w:ascii="Arial" w:hAnsi="Arial" w:cs="Arial" w:hint="cs"/>
                <w:sz w:val="20"/>
                <w:highlight w:val="yellow"/>
                <w:rtl/>
              </w:rPr>
              <w:t>ויראד</w:t>
            </w:r>
            <w:proofErr w:type="spellEnd"/>
            <w:r w:rsidRPr="00D86F26">
              <w:rPr>
                <w:rFonts w:ascii="Arial" w:hAnsi="Arial" w:cs="Arial" w:hint="cs"/>
                <w:sz w:val="20"/>
                <w:highlight w:val="yellow"/>
                <w:rtl/>
              </w:rPr>
              <w:t xml:space="preserve"> מסיבה כלשהיא, במיוחד אם אתה חווה תופעות לוואי כלשהן או אם אתה סובל ממחלה נוספת. </w:t>
            </w:r>
          </w:p>
          <w:p w:rsidR="004005FA" w:rsidRPr="00D86F26" w:rsidRDefault="004005FA" w:rsidP="008A2416">
            <w:pPr>
              <w:pStyle w:val="ListParagraph"/>
              <w:rPr>
                <w:rFonts w:ascii="Arial" w:hAnsi="Arial" w:cs="Arial"/>
                <w:noProof w:val="0"/>
                <w:sz w:val="20"/>
                <w:szCs w:val="22"/>
                <w:highlight w:val="yellow"/>
                <w:rtl/>
              </w:rPr>
            </w:pPr>
          </w:p>
          <w:p w:rsidR="004005FA" w:rsidRPr="00D86F26" w:rsidRDefault="004005FA" w:rsidP="008A2416">
            <w:pPr>
              <w:numPr>
                <w:ilvl w:val="0"/>
                <w:numId w:val="1"/>
              </w:numPr>
              <w:rPr>
                <w:rFonts w:ascii="Arial" w:hAnsi="Arial" w:cs="Arial"/>
                <w:sz w:val="20"/>
                <w:highlight w:val="yellow"/>
              </w:rPr>
            </w:pPr>
            <w:r w:rsidRPr="00D86F26">
              <w:rPr>
                <w:rFonts w:ascii="Arial" w:hAnsi="Arial" w:cs="Arial" w:hint="cs"/>
                <w:sz w:val="20"/>
                <w:highlight w:val="yellow"/>
                <w:rtl/>
              </w:rPr>
              <w:t>ספר לרופא שלך באופן מידי על הופעת תסמינים חדשים או יוצאי דופן לאחר הפסקת הטיפול, במיוחד תסמינים ששייכת אותם להפטיטיס.</w:t>
            </w:r>
          </w:p>
          <w:p w:rsidR="004005FA" w:rsidRPr="00D86F26" w:rsidRDefault="004005FA" w:rsidP="008A2416">
            <w:pPr>
              <w:pStyle w:val="ListParagraph"/>
              <w:rPr>
                <w:rFonts w:ascii="Arial" w:hAnsi="Arial" w:cs="Arial"/>
                <w:noProof w:val="0"/>
                <w:sz w:val="20"/>
                <w:szCs w:val="22"/>
                <w:highlight w:val="yellow"/>
                <w:rtl/>
              </w:rPr>
            </w:pPr>
          </w:p>
          <w:p w:rsidR="004005FA" w:rsidRPr="00D86F26" w:rsidRDefault="004005FA" w:rsidP="008A2416">
            <w:pPr>
              <w:numPr>
                <w:ilvl w:val="0"/>
                <w:numId w:val="1"/>
              </w:numPr>
              <w:rPr>
                <w:rFonts w:ascii="Arial" w:hAnsi="Arial" w:cs="Arial"/>
                <w:sz w:val="20"/>
                <w:highlight w:val="yellow"/>
                <w:rtl/>
              </w:rPr>
            </w:pPr>
            <w:r w:rsidRPr="00D86F26">
              <w:rPr>
                <w:rFonts w:ascii="Arial" w:hAnsi="Arial" w:cs="Arial" w:hint="cs"/>
                <w:sz w:val="20"/>
                <w:highlight w:val="yellow"/>
                <w:rtl/>
              </w:rPr>
              <w:t xml:space="preserve">יש ליידע את הרופא לפני חזרה לטיפול בטבליות </w:t>
            </w:r>
            <w:proofErr w:type="spellStart"/>
            <w:r w:rsidRPr="00D86F26">
              <w:rPr>
                <w:rFonts w:ascii="Arial" w:hAnsi="Arial" w:cs="Arial" w:hint="cs"/>
                <w:sz w:val="20"/>
                <w:highlight w:val="yellow"/>
                <w:rtl/>
              </w:rPr>
              <w:t>ויראד</w:t>
            </w:r>
            <w:proofErr w:type="spellEnd"/>
            <w:r w:rsidRPr="00D86F26">
              <w:rPr>
                <w:rFonts w:ascii="Arial" w:hAnsi="Arial" w:cs="Arial" w:hint="cs"/>
                <w:sz w:val="20"/>
                <w:highlight w:val="yellow"/>
                <w:rtl/>
              </w:rPr>
              <w:t>.</w:t>
            </w:r>
          </w:p>
          <w:p w:rsidR="004005FA" w:rsidRPr="008F78D1" w:rsidRDefault="004005FA" w:rsidP="008A2416">
            <w:pPr>
              <w:rPr>
                <w:rFonts w:ascii="Arial" w:hAnsi="Arial" w:cs="David"/>
                <w:sz w:val="20"/>
                <w:rtl/>
              </w:rPr>
            </w:pPr>
          </w:p>
        </w:tc>
      </w:tr>
    </w:tbl>
    <w:p w:rsidR="004005FA" w:rsidRPr="004005FA" w:rsidRDefault="004005FA" w:rsidP="004005FA">
      <w:pPr>
        <w:spacing w:after="0" w:line="240" w:lineRule="auto"/>
        <w:rPr>
          <w:rFonts w:cs="David Transparent"/>
          <w:b/>
          <w:bCs/>
          <w:sz w:val="26"/>
          <w:szCs w:val="26"/>
          <w:rtl/>
        </w:rPr>
      </w:pPr>
    </w:p>
    <w:p w:rsidR="006E42F8" w:rsidRDefault="006E42F8" w:rsidP="006E42F8">
      <w:pPr>
        <w:spacing w:after="0" w:line="240" w:lineRule="auto"/>
        <w:ind w:right="-142"/>
        <w:rPr>
          <w:rFonts w:cs="David Transparent"/>
          <w:color w:val="FF0000"/>
          <w:szCs w:val="28"/>
          <w:rtl/>
        </w:rPr>
      </w:pPr>
    </w:p>
    <w:p w:rsidR="008A2416" w:rsidRDefault="008A2416" w:rsidP="006E42F8">
      <w:pPr>
        <w:spacing w:after="0" w:line="240" w:lineRule="auto"/>
        <w:ind w:right="-142"/>
        <w:rPr>
          <w:rFonts w:cs="David Transparent"/>
          <w:color w:val="FF0000"/>
          <w:szCs w:val="28"/>
          <w:rtl/>
        </w:rPr>
      </w:pPr>
    </w:p>
    <w:p w:rsidR="008A2416" w:rsidRDefault="008A2416" w:rsidP="006E42F8">
      <w:pPr>
        <w:spacing w:after="0" w:line="240" w:lineRule="auto"/>
        <w:ind w:right="-142"/>
        <w:rPr>
          <w:rFonts w:cs="David Transparent"/>
          <w:color w:val="FF0000"/>
          <w:szCs w:val="28"/>
          <w:rtl/>
        </w:rPr>
      </w:pPr>
    </w:p>
    <w:p w:rsidR="008A2416" w:rsidRDefault="008A2416" w:rsidP="006E42F8">
      <w:pPr>
        <w:spacing w:after="0" w:line="240" w:lineRule="auto"/>
        <w:ind w:right="-142"/>
        <w:rPr>
          <w:rFonts w:cs="David Transparent"/>
          <w:color w:val="FF0000"/>
          <w:szCs w:val="28"/>
          <w:rtl/>
        </w:rPr>
      </w:pPr>
    </w:p>
    <w:p w:rsidR="008A2416" w:rsidRDefault="008A2416" w:rsidP="006E42F8">
      <w:pPr>
        <w:spacing w:after="0" w:line="240" w:lineRule="auto"/>
        <w:ind w:right="-142"/>
        <w:rPr>
          <w:rFonts w:cs="David Transparent"/>
          <w:color w:val="FF0000"/>
          <w:szCs w:val="28"/>
          <w:rtl/>
        </w:rPr>
      </w:pPr>
    </w:p>
    <w:p w:rsidR="008A2416" w:rsidRDefault="008A2416" w:rsidP="006E42F8">
      <w:pPr>
        <w:spacing w:after="0" w:line="240" w:lineRule="auto"/>
        <w:ind w:right="-142"/>
        <w:rPr>
          <w:rFonts w:cs="David Transparent"/>
          <w:color w:val="FF0000"/>
          <w:szCs w:val="28"/>
          <w:rtl/>
        </w:rPr>
      </w:pPr>
    </w:p>
    <w:p w:rsidR="008A2416" w:rsidRDefault="008A2416" w:rsidP="006E42F8">
      <w:pPr>
        <w:spacing w:after="0" w:line="240" w:lineRule="auto"/>
        <w:ind w:right="-142"/>
        <w:rPr>
          <w:rFonts w:cs="David Transparent"/>
          <w:color w:val="FF0000"/>
          <w:szCs w:val="28"/>
          <w:rtl/>
        </w:rPr>
      </w:pPr>
    </w:p>
    <w:p w:rsidR="008A2416" w:rsidRDefault="008A2416" w:rsidP="006E42F8">
      <w:pPr>
        <w:spacing w:after="0" w:line="240" w:lineRule="auto"/>
        <w:ind w:right="-142"/>
        <w:rPr>
          <w:rFonts w:cs="David Transparent"/>
          <w:color w:val="FF0000"/>
          <w:szCs w:val="28"/>
          <w:rtl/>
        </w:rPr>
      </w:pPr>
    </w:p>
    <w:p w:rsidR="006E42F8" w:rsidRDefault="006E42F8" w:rsidP="006E42F8">
      <w:pPr>
        <w:spacing w:after="0" w:line="240" w:lineRule="auto"/>
        <w:ind w:right="-142"/>
        <w:rPr>
          <w:rFonts w:cs="David"/>
          <w:sz w:val="24"/>
          <w:szCs w:val="24"/>
          <w:rtl/>
        </w:rPr>
      </w:pPr>
    </w:p>
    <w:p w:rsidR="006E42F8" w:rsidRPr="00047A67" w:rsidRDefault="006E42F8" w:rsidP="006E42F8">
      <w:pPr>
        <w:spacing w:after="0" w:line="240" w:lineRule="auto"/>
        <w:ind w:left="-143" w:right="-142"/>
        <w:rPr>
          <w:rFonts w:cs="David"/>
          <w:sz w:val="24"/>
          <w:szCs w:val="24"/>
          <w:rtl/>
        </w:rPr>
      </w:pPr>
      <w:r w:rsidRPr="00047A67">
        <w:rPr>
          <w:rFonts w:cs="David" w:hint="cs"/>
          <w:sz w:val="24"/>
          <w:szCs w:val="24"/>
          <w:rtl/>
        </w:rPr>
        <w:lastRenderedPageBreak/>
        <w:t xml:space="preserve">מצ"ב </w:t>
      </w:r>
      <w:r w:rsidRPr="00047A67">
        <w:rPr>
          <w:rFonts w:cs="David"/>
          <w:sz w:val="24"/>
          <w:szCs w:val="24"/>
          <w:rtl/>
        </w:rPr>
        <w:t>העלון, שבו מסומנ</w:t>
      </w:r>
      <w:r w:rsidRPr="00047A67">
        <w:rPr>
          <w:rFonts w:cs="David" w:hint="cs"/>
          <w:sz w:val="24"/>
          <w:szCs w:val="24"/>
          <w:rtl/>
        </w:rPr>
        <w:t>ות</w:t>
      </w:r>
      <w:r w:rsidRPr="00047A67">
        <w:rPr>
          <w:rFonts w:cs="David"/>
          <w:sz w:val="24"/>
          <w:szCs w:val="24"/>
          <w:rtl/>
        </w:rPr>
        <w:t xml:space="preserve"> </w:t>
      </w:r>
      <w:proofErr w:type="spellStart"/>
      <w:r w:rsidRPr="00047A67">
        <w:rPr>
          <w:rFonts w:cs="David" w:hint="cs"/>
          <w:sz w:val="24"/>
          <w:szCs w:val="24"/>
          <w:rtl/>
        </w:rPr>
        <w:t>ההחמרות</w:t>
      </w:r>
      <w:proofErr w:type="spellEnd"/>
      <w:r w:rsidRPr="00047A67">
        <w:rPr>
          <w:rFonts w:cs="David" w:hint="cs"/>
          <w:sz w:val="24"/>
          <w:szCs w:val="24"/>
          <w:rtl/>
        </w:rPr>
        <w:t xml:space="preserve"> </w:t>
      </w:r>
      <w:r w:rsidRPr="00047A67">
        <w:rPr>
          <w:rFonts w:cs="David"/>
          <w:sz w:val="24"/>
          <w:szCs w:val="24"/>
          <w:rtl/>
        </w:rPr>
        <w:t>המבוקש</w:t>
      </w:r>
      <w:r w:rsidRPr="00047A67">
        <w:rPr>
          <w:rFonts w:cs="David" w:hint="cs"/>
          <w:sz w:val="24"/>
          <w:szCs w:val="24"/>
          <w:rtl/>
        </w:rPr>
        <w:t xml:space="preserve">ות  </w:t>
      </w:r>
      <w:r w:rsidRPr="00047A67">
        <w:rPr>
          <w:rFonts w:cs="David" w:hint="cs"/>
          <w:sz w:val="24"/>
          <w:szCs w:val="24"/>
          <w:highlight w:val="yellow"/>
          <w:rtl/>
        </w:rPr>
        <w:t>על רקע צהוב</w:t>
      </w:r>
      <w:r w:rsidRPr="00047A67">
        <w:rPr>
          <w:rFonts w:cs="David" w:hint="cs"/>
          <w:sz w:val="24"/>
          <w:szCs w:val="24"/>
          <w:rtl/>
        </w:rPr>
        <w:t>.</w:t>
      </w:r>
    </w:p>
    <w:p w:rsidR="006E42F8" w:rsidRPr="00047A67" w:rsidRDefault="006E42F8" w:rsidP="006E42F8">
      <w:pPr>
        <w:spacing w:after="0" w:line="240" w:lineRule="auto"/>
        <w:ind w:left="-143" w:right="-142"/>
        <w:rPr>
          <w:rFonts w:cs="David"/>
          <w:sz w:val="24"/>
          <w:szCs w:val="24"/>
          <w:rtl/>
        </w:rPr>
      </w:pPr>
      <w:r w:rsidRPr="00047A67">
        <w:rPr>
          <w:rFonts w:cs="David" w:hint="cs"/>
          <w:sz w:val="24"/>
          <w:szCs w:val="24"/>
          <w:rtl/>
        </w:rPr>
        <w:t xml:space="preserve">שינויים שאינם בגדר </w:t>
      </w:r>
      <w:proofErr w:type="spellStart"/>
      <w:r w:rsidRPr="00047A67">
        <w:rPr>
          <w:rFonts w:cs="David" w:hint="cs"/>
          <w:sz w:val="24"/>
          <w:szCs w:val="24"/>
          <w:rtl/>
        </w:rPr>
        <w:t>החמרות</w:t>
      </w:r>
      <w:proofErr w:type="spellEnd"/>
      <w:r w:rsidRPr="00047A67">
        <w:rPr>
          <w:rFonts w:cs="David" w:hint="cs"/>
          <w:sz w:val="24"/>
          <w:szCs w:val="24"/>
          <w:rtl/>
        </w:rPr>
        <w:t xml:space="preserve"> סומנו (בעלון) בטקסט </w:t>
      </w:r>
      <w:r w:rsidRPr="00047A67">
        <w:rPr>
          <w:rFonts w:cs="David" w:hint="cs"/>
          <w:color w:val="00B050"/>
          <w:sz w:val="24"/>
          <w:szCs w:val="24"/>
          <w:rtl/>
        </w:rPr>
        <w:t>ירוק</w:t>
      </w:r>
      <w:r w:rsidRPr="00047A67">
        <w:rPr>
          <w:rFonts w:cs="David" w:hint="cs"/>
          <w:sz w:val="24"/>
          <w:szCs w:val="24"/>
          <w:rtl/>
        </w:rPr>
        <w:t>.</w:t>
      </w:r>
    </w:p>
    <w:p w:rsidR="006E42F8" w:rsidRPr="00047A67" w:rsidRDefault="006E42F8" w:rsidP="0047560E">
      <w:pPr>
        <w:spacing w:after="0" w:line="240" w:lineRule="auto"/>
        <w:ind w:left="-143" w:right="-142"/>
        <w:rPr>
          <w:rFonts w:cs="David"/>
          <w:sz w:val="24"/>
          <w:szCs w:val="24"/>
          <w:rtl/>
        </w:rPr>
      </w:pPr>
      <w:r w:rsidRPr="00047A67">
        <w:rPr>
          <w:rFonts w:cs="David" w:hint="cs"/>
          <w:sz w:val="24"/>
          <w:szCs w:val="24"/>
          <w:rtl/>
        </w:rPr>
        <w:t>הועבר בדואר אלקטרוני בתאריך</w:t>
      </w:r>
      <w:r>
        <w:rPr>
          <w:rFonts w:cs="David" w:hint="cs"/>
          <w:sz w:val="24"/>
          <w:szCs w:val="24"/>
          <w:rtl/>
        </w:rPr>
        <w:t xml:space="preserve">: </w:t>
      </w:r>
      <w:r w:rsidRPr="00047A67">
        <w:rPr>
          <w:rFonts w:cs="David" w:hint="cs"/>
          <w:sz w:val="24"/>
          <w:szCs w:val="24"/>
          <w:rtl/>
        </w:rPr>
        <w:t xml:space="preserve"> </w:t>
      </w:r>
      <w:r w:rsidR="0047560E">
        <w:rPr>
          <w:rFonts w:cs="David" w:hint="cs"/>
          <w:sz w:val="24"/>
          <w:szCs w:val="24"/>
          <w:u w:val="single"/>
          <w:rtl/>
        </w:rPr>
        <w:t>13</w:t>
      </w:r>
      <w:r w:rsidRPr="008F78D1">
        <w:rPr>
          <w:rFonts w:cs="David" w:hint="cs"/>
          <w:sz w:val="24"/>
          <w:szCs w:val="24"/>
          <w:u w:val="single"/>
          <w:rtl/>
        </w:rPr>
        <w:t>.01.2013</w:t>
      </w:r>
    </w:p>
    <w:p w:rsidR="006E42F8" w:rsidRPr="00047A67" w:rsidRDefault="006E42F8" w:rsidP="006E42F8">
      <w:pPr>
        <w:spacing w:after="0" w:line="240" w:lineRule="auto"/>
        <w:ind w:left="-143" w:right="-142"/>
        <w:rPr>
          <w:rFonts w:cs="David"/>
          <w:sz w:val="24"/>
          <w:szCs w:val="24"/>
          <w:rtl/>
        </w:rPr>
      </w:pPr>
    </w:p>
    <w:p w:rsidR="006E42F8" w:rsidRPr="00047A67" w:rsidRDefault="006E42F8" w:rsidP="006E42F8">
      <w:pPr>
        <w:numPr>
          <w:ilvl w:val="0"/>
          <w:numId w:val="2"/>
        </w:numPr>
        <w:spacing w:after="0" w:line="240" w:lineRule="auto"/>
        <w:ind w:right="-142"/>
        <w:rPr>
          <w:rFonts w:cs="David"/>
          <w:sz w:val="24"/>
          <w:szCs w:val="24"/>
        </w:rPr>
      </w:pPr>
      <w:r w:rsidRPr="00047A67">
        <w:rPr>
          <w:rFonts w:cs="David" w:hint="cs"/>
          <w:sz w:val="24"/>
          <w:szCs w:val="24"/>
          <w:rtl/>
        </w:rPr>
        <w:t>כל השינויים עולים בקנה אחד עם תנאי הרישום.</w:t>
      </w:r>
    </w:p>
    <w:p w:rsidR="006E42F8" w:rsidRPr="00047A67" w:rsidRDefault="006E42F8" w:rsidP="006E42F8">
      <w:pPr>
        <w:numPr>
          <w:ilvl w:val="0"/>
          <w:numId w:val="2"/>
        </w:numPr>
        <w:spacing w:after="0" w:line="240" w:lineRule="auto"/>
        <w:ind w:right="-142"/>
        <w:rPr>
          <w:rFonts w:cs="David"/>
          <w:sz w:val="24"/>
          <w:szCs w:val="24"/>
        </w:rPr>
      </w:pPr>
      <w:r w:rsidRPr="00047A67">
        <w:rPr>
          <w:rFonts w:cs="David" w:hint="cs"/>
          <w:sz w:val="24"/>
          <w:szCs w:val="24"/>
          <w:rtl/>
        </w:rPr>
        <w:t>קיים עלון לצרכן והוא מעודכן בהתאם.</w:t>
      </w:r>
    </w:p>
    <w:p w:rsidR="006E42F8" w:rsidRPr="00047A67" w:rsidRDefault="006E42F8" w:rsidP="006E42F8">
      <w:pPr>
        <w:numPr>
          <w:ilvl w:val="0"/>
          <w:numId w:val="2"/>
        </w:numPr>
        <w:spacing w:after="0" w:line="240" w:lineRule="auto"/>
        <w:ind w:right="-142"/>
        <w:rPr>
          <w:rFonts w:cs="David"/>
          <w:sz w:val="24"/>
          <w:szCs w:val="24"/>
          <w:rtl/>
        </w:rPr>
      </w:pPr>
      <w:r>
        <w:rPr>
          <w:rFonts w:cs="David" w:hint="cs"/>
          <w:sz w:val="24"/>
          <w:szCs w:val="24"/>
          <w:rtl/>
        </w:rPr>
        <w:t xml:space="preserve">אסמכתא לבקשה: </w:t>
      </w:r>
      <w:r w:rsidRPr="00DC75BE">
        <w:rPr>
          <w:rFonts w:cs="David" w:hint="cs"/>
          <w:sz w:val="24"/>
          <w:szCs w:val="24"/>
          <w:u w:val="single"/>
          <w:rtl/>
        </w:rPr>
        <w:t>עלון מאושר באירופה</w:t>
      </w:r>
    </w:p>
    <w:p w:rsidR="006E42F8" w:rsidRPr="00047A67" w:rsidRDefault="006E42F8" w:rsidP="006E42F8">
      <w:pPr>
        <w:spacing w:after="0" w:line="240" w:lineRule="auto"/>
        <w:ind w:left="217" w:right="-142"/>
        <w:rPr>
          <w:rFonts w:cs="David"/>
          <w:sz w:val="24"/>
          <w:szCs w:val="24"/>
          <w:rtl/>
        </w:rPr>
      </w:pPr>
      <w:r w:rsidRPr="00047A67">
        <w:rPr>
          <w:rFonts w:cs="David" w:hint="cs"/>
          <w:sz w:val="24"/>
          <w:szCs w:val="24"/>
          <w:rtl/>
        </w:rPr>
        <w:t>אסמכתא מצ"ב</w:t>
      </w:r>
    </w:p>
    <w:p w:rsidR="006E42F8" w:rsidRPr="00DC75BE" w:rsidRDefault="006E42F8" w:rsidP="006E42F8">
      <w:pPr>
        <w:pStyle w:val="ListParagraph"/>
        <w:numPr>
          <w:ilvl w:val="1"/>
          <w:numId w:val="3"/>
        </w:numPr>
        <w:ind w:right="-142"/>
        <w:contextualSpacing/>
        <w:rPr>
          <w:szCs w:val="24"/>
          <w:rtl/>
        </w:rPr>
      </w:pPr>
      <w:r w:rsidRPr="00DC75BE">
        <w:rPr>
          <w:rFonts w:hint="cs"/>
          <w:szCs w:val="24"/>
          <w:rtl/>
        </w:rPr>
        <w:t>השינוי הנ"ל אושר על ידי רשויות הבריאות ב</w:t>
      </w:r>
      <w:r w:rsidRPr="00DC75BE">
        <w:rPr>
          <w:rFonts w:hint="cs"/>
          <w:szCs w:val="24"/>
          <w:u w:val="single"/>
          <w:rtl/>
        </w:rPr>
        <w:t>אירופה</w:t>
      </w:r>
    </w:p>
    <w:p w:rsidR="006E42F8" w:rsidRPr="00DC75BE" w:rsidRDefault="006E42F8" w:rsidP="006E42F8">
      <w:pPr>
        <w:pStyle w:val="ListParagraph"/>
        <w:numPr>
          <w:ilvl w:val="1"/>
          <w:numId w:val="3"/>
        </w:numPr>
        <w:ind w:right="-142"/>
        <w:contextualSpacing/>
        <w:rPr>
          <w:szCs w:val="24"/>
          <w:rtl/>
        </w:rPr>
      </w:pPr>
      <w:r w:rsidRPr="00DC75BE">
        <w:rPr>
          <w:rFonts w:hint="cs"/>
          <w:szCs w:val="24"/>
          <w:rtl/>
        </w:rPr>
        <w:t>אני, הרוקח</w:t>
      </w:r>
      <w:r>
        <w:rPr>
          <w:rFonts w:hint="cs"/>
          <w:szCs w:val="24"/>
          <w:rtl/>
        </w:rPr>
        <w:t xml:space="preserve"> </w:t>
      </w:r>
      <w:r w:rsidRPr="00DC75BE">
        <w:rPr>
          <w:rFonts w:hint="cs"/>
          <w:szCs w:val="24"/>
          <w:rtl/>
        </w:rPr>
        <w:t xml:space="preserve"> הממונה של חברת </w:t>
      </w:r>
      <w:r w:rsidRPr="00DC75BE">
        <w:rPr>
          <w:rFonts w:hint="cs"/>
          <w:szCs w:val="24"/>
          <w:u w:val="single"/>
          <w:rtl/>
        </w:rPr>
        <w:t>ניאופרם בע"מ</w:t>
      </w:r>
      <w:r w:rsidRPr="00DC75BE">
        <w:rPr>
          <w:rFonts w:hint="cs"/>
          <w:szCs w:val="24"/>
          <w:rtl/>
        </w:rPr>
        <w:t xml:space="preserve"> מצהיר בזה כי אין שינויים נוספים בעלון.</w:t>
      </w:r>
    </w:p>
    <w:p w:rsidR="006E42F8" w:rsidRPr="00DC75BE" w:rsidRDefault="006E42F8" w:rsidP="006E42F8">
      <w:pPr>
        <w:pStyle w:val="ListParagraph"/>
        <w:numPr>
          <w:ilvl w:val="1"/>
          <w:numId w:val="3"/>
        </w:numPr>
        <w:ind w:right="-142"/>
        <w:contextualSpacing/>
        <w:rPr>
          <w:szCs w:val="24"/>
          <w:rtl/>
        </w:rPr>
      </w:pPr>
      <w:r w:rsidRPr="00DC75BE">
        <w:rPr>
          <w:rFonts w:hint="cs"/>
          <w:szCs w:val="24"/>
          <w:rtl/>
        </w:rPr>
        <w:t>אני מצהיר כי השינויים אינם יוצרים סתירה פנימית במידע בעלון.</w:t>
      </w:r>
    </w:p>
    <w:p w:rsidR="006E42F8" w:rsidRPr="00047A67" w:rsidRDefault="006E42F8" w:rsidP="006E42F8">
      <w:pPr>
        <w:spacing w:after="0" w:line="240" w:lineRule="auto"/>
        <w:ind w:right="-142"/>
        <w:rPr>
          <w:rFonts w:cs="David"/>
          <w:sz w:val="24"/>
          <w:szCs w:val="24"/>
          <w:rtl/>
        </w:rPr>
      </w:pPr>
    </w:p>
    <w:p w:rsidR="006E42F8" w:rsidRPr="00047A67" w:rsidRDefault="006E42F8" w:rsidP="006E42F8">
      <w:pPr>
        <w:spacing w:after="0" w:line="240" w:lineRule="auto"/>
        <w:ind w:right="-142"/>
        <w:rPr>
          <w:rFonts w:cs="David"/>
          <w:sz w:val="24"/>
          <w:szCs w:val="24"/>
          <w:rtl/>
        </w:rPr>
      </w:pPr>
      <w:r w:rsidRPr="00047A67">
        <w:rPr>
          <w:rFonts w:cs="David" w:hint="cs"/>
          <w:sz w:val="24"/>
          <w:szCs w:val="24"/>
          <w:rtl/>
        </w:rPr>
        <w:t>חתימת הרוקח הממונה (שם וחתימה)_________________________________</w:t>
      </w:r>
    </w:p>
    <w:p w:rsidR="006E42F8" w:rsidRDefault="006E42F8" w:rsidP="006E42F8">
      <w:pPr>
        <w:rPr>
          <w:rtl/>
        </w:rPr>
      </w:pPr>
    </w:p>
    <w:p w:rsidR="006E42F8" w:rsidRDefault="006E42F8" w:rsidP="006E42F8">
      <w:pPr>
        <w:rPr>
          <w:rtl/>
        </w:rPr>
      </w:pPr>
    </w:p>
    <w:p w:rsidR="006E42F8" w:rsidRDefault="006E42F8" w:rsidP="006E42F8">
      <w:pPr>
        <w:jc w:val="center"/>
        <w:rPr>
          <w:rFonts w:cs="David Transparent"/>
          <w:color w:val="FF0000"/>
          <w:szCs w:val="28"/>
          <w:rtl/>
        </w:rPr>
      </w:pPr>
    </w:p>
    <w:p w:rsidR="006E42F8" w:rsidRDefault="006E42F8" w:rsidP="006E42F8">
      <w:pPr>
        <w:jc w:val="center"/>
        <w:rPr>
          <w:rFonts w:cs="David Transparent"/>
          <w:color w:val="FF0000"/>
          <w:szCs w:val="28"/>
          <w:rtl/>
        </w:rPr>
      </w:pPr>
    </w:p>
    <w:p w:rsidR="004005FA" w:rsidRDefault="004005FA"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05FA" w:rsidRDefault="004005FA"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05FA" w:rsidRDefault="004005FA"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05FA" w:rsidRDefault="004005FA"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05FA" w:rsidRDefault="004005FA"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005FA" w:rsidRDefault="004005FA"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E42F8" w:rsidRDefault="006E42F8" w:rsidP="00DE7514">
      <w:pPr>
        <w:spacing w:after="0" w:line="240" w:lineRule="auto"/>
        <w:jc w:val="center"/>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E7514" w:rsidRDefault="00302E34" w:rsidP="00DE7514">
      <w:pPr>
        <w:spacing w:after="0" w:line="240" w:lineRule="auto"/>
        <w:jc w:val="center"/>
        <w:rPr>
          <w:rFonts w:cs="David"/>
          <w:color w:val="FFFFFF"/>
          <w:sz w:val="28"/>
          <w:szCs w:val="28"/>
          <w:highlight w:val="black"/>
          <w:rtl/>
        </w:rPr>
      </w:pPr>
      <w:r w:rsidRPr="00867566">
        <w:rPr>
          <w:rFonts w:ascii="Times New Roman" w:eastAsia="Times New Roman" w:hAnsi="Times New Roman" w:cs="David Transparent" w:hint="cs"/>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הודעה על </w:t>
      </w:r>
      <w:r w:rsidRPr="00867566">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867566">
        <w:rPr>
          <w:rFonts w:ascii="Times New Roman" w:eastAsia="Times New Roman" w:hAnsi="Times New Roman" w:cs="David Transparent" w:hint="cs"/>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867566">
        <w:rPr>
          <w:rFonts w:ascii="Times New Roman" w:eastAsia="Times New Roman" w:hAnsi="Times New Roman" w:cs="David Transparent"/>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  בעלון ל</w:t>
      </w:r>
      <w:r w:rsidR="00DE7514">
        <w:rPr>
          <w:rFonts w:ascii="Times New Roman" w:eastAsia="Times New Roman" w:hAnsi="Times New Roman" w:cs="David Transparent" w:hint="cs"/>
          <w:b/>
          <w:bCs/>
          <w:color w:val="C0C0C0"/>
          <w:sz w:val="20"/>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p>
    <w:p w:rsidR="00DE7514" w:rsidRDefault="00DE7514" w:rsidP="008F78D1">
      <w:pPr>
        <w:spacing w:after="0" w:line="240" w:lineRule="auto"/>
        <w:rPr>
          <w:rFonts w:cs="David Transparent"/>
          <w:b/>
          <w:bCs/>
          <w:sz w:val="28"/>
          <w:szCs w:val="28"/>
          <w:rtl/>
        </w:rPr>
      </w:pPr>
    </w:p>
    <w:p w:rsidR="008F78D1" w:rsidRPr="00410789" w:rsidRDefault="008F78D1" w:rsidP="003B2C4B">
      <w:pPr>
        <w:spacing w:after="0" w:line="240" w:lineRule="auto"/>
        <w:rPr>
          <w:rFonts w:cs="David Transparent"/>
          <w:b/>
          <w:bCs/>
          <w:sz w:val="28"/>
          <w:szCs w:val="28"/>
          <w:rtl/>
        </w:rPr>
      </w:pPr>
      <w:r w:rsidRPr="00410789">
        <w:rPr>
          <w:rFonts w:cs="David Transparent" w:hint="cs"/>
          <w:b/>
          <w:bCs/>
          <w:sz w:val="28"/>
          <w:szCs w:val="28"/>
          <w:rtl/>
        </w:rPr>
        <w:t>תאריך</w:t>
      </w:r>
      <w:r>
        <w:rPr>
          <w:rFonts w:cs="David Transparent" w:hint="cs"/>
          <w:b/>
          <w:bCs/>
          <w:sz w:val="28"/>
          <w:szCs w:val="28"/>
          <w:rtl/>
        </w:rPr>
        <w:t>:</w:t>
      </w:r>
      <w:r w:rsidRPr="00410789">
        <w:rPr>
          <w:rFonts w:cs="David Transparent" w:hint="cs"/>
          <w:b/>
          <w:bCs/>
          <w:sz w:val="28"/>
          <w:szCs w:val="28"/>
          <w:rtl/>
        </w:rPr>
        <w:t xml:space="preserve"> </w:t>
      </w:r>
      <w:r w:rsidR="003B2C4B">
        <w:rPr>
          <w:rFonts w:cs="David Transparent" w:hint="cs"/>
          <w:sz w:val="28"/>
          <w:szCs w:val="28"/>
          <w:u w:val="single"/>
          <w:rtl/>
        </w:rPr>
        <w:t>13</w:t>
      </w:r>
      <w:r w:rsidRPr="008F78D1">
        <w:rPr>
          <w:rFonts w:cs="David Transparent" w:hint="cs"/>
          <w:sz w:val="28"/>
          <w:szCs w:val="28"/>
          <w:u w:val="single"/>
          <w:rtl/>
        </w:rPr>
        <w:t>.01.2013</w:t>
      </w:r>
    </w:p>
    <w:p w:rsidR="008F78D1" w:rsidRDefault="008F78D1" w:rsidP="008F78D1">
      <w:pPr>
        <w:spacing w:after="0" w:line="240" w:lineRule="auto"/>
        <w:rPr>
          <w:rFonts w:cs="David Transparent"/>
          <w:b/>
          <w:bCs/>
          <w:szCs w:val="28"/>
          <w:rtl/>
        </w:rPr>
      </w:pPr>
      <w:r>
        <w:rPr>
          <w:rFonts w:cs="David Transparent" w:hint="cs"/>
          <w:b/>
          <w:bCs/>
          <w:szCs w:val="28"/>
          <w:rtl/>
        </w:rPr>
        <w:t xml:space="preserve">שם תכשיר באנגלית ומספר הרישום: </w:t>
      </w:r>
      <w:r w:rsidRPr="008F78D1">
        <w:rPr>
          <w:rFonts w:ascii="Arial" w:hAnsi="Arial"/>
          <w:b/>
          <w:bCs/>
          <w:color w:val="000000"/>
          <w:u w:val="single"/>
        </w:rPr>
        <w:t xml:space="preserve">130 43 30944 –23, 24, 25 </w:t>
      </w:r>
      <w:r w:rsidRPr="008F78D1">
        <w:rPr>
          <w:rFonts w:cs="David Transparent" w:hint="cs"/>
          <w:b/>
          <w:bCs/>
          <w:szCs w:val="28"/>
          <w:u w:val="single"/>
          <w:rtl/>
        </w:rPr>
        <w:t xml:space="preserve"> </w:t>
      </w:r>
      <w:proofErr w:type="spellStart"/>
      <w:r w:rsidRPr="008F78D1">
        <w:rPr>
          <w:rFonts w:ascii="Arial" w:hAnsi="Arial" w:cs="Arial"/>
          <w:b/>
          <w:bCs/>
          <w:szCs w:val="24"/>
          <w:u w:val="single"/>
        </w:rPr>
        <w:t>Viread</w:t>
      </w:r>
      <w:proofErr w:type="spellEnd"/>
    </w:p>
    <w:p w:rsidR="00DE7514" w:rsidRDefault="00DE7514" w:rsidP="00DE7514">
      <w:pPr>
        <w:spacing w:after="0" w:line="240" w:lineRule="auto"/>
        <w:rPr>
          <w:rFonts w:cs="David Transparent"/>
          <w:b/>
          <w:bCs/>
          <w:sz w:val="26"/>
          <w:szCs w:val="26"/>
          <w:rtl/>
        </w:rPr>
      </w:pPr>
      <w:r w:rsidRPr="008A137F">
        <w:rPr>
          <w:rFonts w:cs="David Transparent"/>
          <w:b/>
          <w:bCs/>
          <w:sz w:val="26"/>
          <w:szCs w:val="26"/>
          <w:rtl/>
        </w:rPr>
        <w:t>שם בעל הרישום</w:t>
      </w:r>
      <w:r w:rsidRPr="00AB5A83">
        <w:rPr>
          <w:rFonts w:ascii="Arial" w:hAnsi="Arial"/>
          <w:b/>
          <w:bCs/>
          <w:color w:val="000000"/>
        </w:rPr>
        <w:t xml:space="preserve"> </w:t>
      </w:r>
      <w:r w:rsidRPr="008F78D1">
        <w:rPr>
          <w:rFonts w:ascii="Arial" w:hAnsi="Arial"/>
          <w:b/>
          <w:bCs/>
          <w:color w:val="000000"/>
          <w:u w:val="single"/>
        </w:rPr>
        <w:t>Neopharm Ltd</w:t>
      </w:r>
      <w:r>
        <w:rPr>
          <w:rFonts w:ascii="Arial" w:hAnsi="Arial"/>
          <w:b/>
          <w:bCs/>
          <w:color w:val="000000"/>
        </w:rPr>
        <w:t xml:space="preserve"> </w:t>
      </w:r>
      <w:r w:rsidRPr="008F78D1">
        <w:rPr>
          <w:rFonts w:ascii="Arial" w:hAnsi="Arial"/>
          <w:b/>
          <w:bCs/>
          <w:color w:val="000000"/>
        </w:rPr>
        <w:t>:</w:t>
      </w:r>
    </w:p>
    <w:p w:rsidR="00DE7514" w:rsidRDefault="00DE7514" w:rsidP="00DE7514">
      <w:pPr>
        <w:spacing w:after="0" w:line="240" w:lineRule="auto"/>
        <w:rPr>
          <w:rFonts w:cs="David Transparent"/>
          <w:b/>
          <w:bCs/>
          <w:sz w:val="26"/>
          <w:szCs w:val="26"/>
          <w:rtl/>
        </w:rPr>
      </w:pPr>
    </w:p>
    <w:p w:rsidR="00DE7514" w:rsidRDefault="00DE7514" w:rsidP="00DE7514">
      <w:pPr>
        <w:jc w:val="center"/>
        <w:rPr>
          <w:rFonts w:cs="David Transparent"/>
          <w:color w:val="FF0000"/>
          <w:sz w:val="28"/>
          <w:szCs w:val="28"/>
          <w:rtl/>
        </w:rPr>
      </w:pPr>
      <w:r w:rsidRPr="00DE7514">
        <w:rPr>
          <w:rFonts w:cs="David Transparent" w:hint="cs"/>
          <w:color w:val="FF0000"/>
          <w:sz w:val="28"/>
          <w:szCs w:val="28"/>
          <w:rtl/>
        </w:rPr>
        <w:t xml:space="preserve">טופס זה מיועד לפרוט </w:t>
      </w:r>
      <w:proofErr w:type="spellStart"/>
      <w:r w:rsidRPr="00DE7514">
        <w:rPr>
          <w:rFonts w:cs="David Transparent" w:hint="cs"/>
          <w:color w:val="FF0000"/>
          <w:sz w:val="28"/>
          <w:szCs w:val="28"/>
          <w:rtl/>
        </w:rPr>
        <w:t>ההחמרות</w:t>
      </w:r>
      <w:proofErr w:type="spellEnd"/>
      <w:r w:rsidRPr="00DE7514">
        <w:rPr>
          <w:rFonts w:cs="David Transparent" w:hint="cs"/>
          <w:color w:val="FF0000"/>
          <w:sz w:val="28"/>
          <w:szCs w:val="28"/>
          <w:rtl/>
        </w:rPr>
        <w:t xml:space="preserve"> בלבד !</w:t>
      </w:r>
    </w:p>
    <w:tbl>
      <w:tblPr>
        <w:tblStyle w:val="TableGrid"/>
        <w:tblpPr w:leftFromText="180" w:rightFromText="180" w:vertAnchor="page" w:horzAnchor="margin" w:tblpXSpec="center" w:tblpY="7936"/>
        <w:bidiVisual/>
        <w:tblW w:w="10206" w:type="dxa"/>
        <w:tblLayout w:type="fixed"/>
        <w:tblLook w:val="04A0" w:firstRow="1" w:lastRow="0" w:firstColumn="1" w:lastColumn="0" w:noHBand="0" w:noVBand="1"/>
      </w:tblPr>
      <w:tblGrid>
        <w:gridCol w:w="2409"/>
        <w:gridCol w:w="3963"/>
        <w:gridCol w:w="3834"/>
      </w:tblGrid>
      <w:tr w:rsidR="004005FA" w:rsidTr="00827313">
        <w:tc>
          <w:tcPr>
            <w:tcW w:w="10206" w:type="dxa"/>
            <w:gridSpan w:val="3"/>
            <w:shd w:val="clear" w:color="auto" w:fill="D9D9D9" w:themeFill="background1" w:themeFillShade="D9"/>
          </w:tcPr>
          <w:p w:rsidR="004005FA" w:rsidRPr="008F78D1" w:rsidRDefault="004005FA" w:rsidP="008A2416">
            <w:pPr>
              <w:tabs>
                <w:tab w:val="left" w:pos="1205"/>
                <w:tab w:val="center" w:pos="4153"/>
              </w:tabs>
              <w:rPr>
                <w:rFonts w:cs="David"/>
                <w:b/>
                <w:bCs/>
                <w:rtl/>
              </w:rPr>
            </w:pPr>
            <w:r w:rsidRPr="008F78D1">
              <w:rPr>
                <w:rFonts w:cs="David"/>
                <w:b/>
                <w:bCs/>
                <w:rtl/>
              </w:rPr>
              <w:tab/>
            </w:r>
            <w:r w:rsidRPr="008F78D1">
              <w:rPr>
                <w:rFonts w:cs="David"/>
                <w:b/>
                <w:bCs/>
                <w:rtl/>
              </w:rPr>
              <w:tab/>
            </w:r>
            <w:proofErr w:type="spellStart"/>
            <w:r w:rsidRPr="008F78D1">
              <w:rPr>
                <w:rFonts w:cs="David" w:hint="cs"/>
                <w:b/>
                <w:bCs/>
                <w:rtl/>
              </w:rPr>
              <w:t>ההחמרות</w:t>
            </w:r>
            <w:proofErr w:type="spellEnd"/>
            <w:r w:rsidRPr="008F78D1">
              <w:rPr>
                <w:rFonts w:cs="David" w:hint="cs"/>
                <w:b/>
                <w:bCs/>
                <w:rtl/>
              </w:rPr>
              <w:t xml:space="preserve"> המבוקשות</w:t>
            </w:r>
          </w:p>
        </w:tc>
      </w:tr>
      <w:tr w:rsidR="004005FA" w:rsidTr="00827313">
        <w:tc>
          <w:tcPr>
            <w:tcW w:w="2409" w:type="dxa"/>
          </w:tcPr>
          <w:p w:rsidR="004005FA" w:rsidRPr="008F78D1" w:rsidRDefault="004005FA" w:rsidP="008A2416">
            <w:pPr>
              <w:jc w:val="center"/>
              <w:rPr>
                <w:rFonts w:cs="David"/>
                <w:b/>
                <w:bCs/>
                <w:rtl/>
              </w:rPr>
            </w:pPr>
            <w:r w:rsidRPr="008F78D1">
              <w:rPr>
                <w:rFonts w:cs="David" w:hint="cs"/>
                <w:b/>
                <w:bCs/>
                <w:rtl/>
              </w:rPr>
              <w:t>פרק בעלון</w:t>
            </w:r>
          </w:p>
        </w:tc>
        <w:tc>
          <w:tcPr>
            <w:tcW w:w="3963" w:type="dxa"/>
          </w:tcPr>
          <w:p w:rsidR="004005FA" w:rsidRPr="008F78D1" w:rsidRDefault="004005FA" w:rsidP="008A2416">
            <w:pPr>
              <w:jc w:val="center"/>
              <w:rPr>
                <w:rFonts w:cs="David"/>
                <w:b/>
                <w:bCs/>
                <w:rtl/>
              </w:rPr>
            </w:pPr>
            <w:r w:rsidRPr="008F78D1">
              <w:rPr>
                <w:rFonts w:cs="David" w:hint="cs"/>
                <w:b/>
                <w:bCs/>
                <w:rtl/>
              </w:rPr>
              <w:t>טקסט נוכחי</w:t>
            </w:r>
          </w:p>
        </w:tc>
        <w:tc>
          <w:tcPr>
            <w:tcW w:w="3834" w:type="dxa"/>
          </w:tcPr>
          <w:p w:rsidR="004005FA" w:rsidRPr="008F78D1" w:rsidRDefault="004005FA" w:rsidP="008A2416">
            <w:pPr>
              <w:jc w:val="center"/>
              <w:rPr>
                <w:rFonts w:cs="David"/>
                <w:b/>
                <w:bCs/>
                <w:rtl/>
              </w:rPr>
            </w:pPr>
            <w:r w:rsidRPr="008F78D1">
              <w:rPr>
                <w:rFonts w:cs="David" w:hint="cs"/>
                <w:b/>
                <w:bCs/>
                <w:rtl/>
              </w:rPr>
              <w:t>טקסט חדש</w:t>
            </w:r>
          </w:p>
        </w:tc>
      </w:tr>
      <w:tr w:rsidR="004005FA" w:rsidTr="00827313">
        <w:tc>
          <w:tcPr>
            <w:tcW w:w="2409" w:type="dxa"/>
          </w:tcPr>
          <w:p w:rsidR="004005FA" w:rsidRPr="00F07F53" w:rsidRDefault="004005FA" w:rsidP="008A2416">
            <w:pPr>
              <w:jc w:val="right"/>
              <w:rPr>
                <w:rFonts w:asciiTheme="majorBidi" w:hAnsiTheme="majorBidi" w:cstheme="majorBidi"/>
                <w:rtl/>
              </w:rPr>
            </w:pPr>
            <w:r>
              <w:rPr>
                <w:rFonts w:asciiTheme="majorBidi" w:hAnsiTheme="majorBidi" w:cstheme="majorBidi"/>
                <w:b/>
                <w:bCs/>
              </w:rPr>
              <w:t xml:space="preserve">4.2. </w:t>
            </w:r>
            <w:r w:rsidRPr="00F07F53">
              <w:rPr>
                <w:rFonts w:asciiTheme="majorBidi" w:hAnsiTheme="majorBidi" w:cstheme="majorBidi"/>
                <w:b/>
                <w:bCs/>
              </w:rPr>
              <w:t>Posology, dosage  &amp; administration</w:t>
            </w:r>
          </w:p>
        </w:tc>
        <w:tc>
          <w:tcPr>
            <w:tcW w:w="3963" w:type="dxa"/>
          </w:tcPr>
          <w:p w:rsidR="004005FA" w:rsidRDefault="004005FA" w:rsidP="008A2416"/>
          <w:p w:rsidR="004005FA" w:rsidRPr="00C805D2" w:rsidRDefault="004005FA" w:rsidP="008A2416">
            <w:pPr>
              <w:bidi w:val="0"/>
              <w:rPr>
                <w:rFonts w:asciiTheme="majorBidi" w:hAnsiTheme="majorBidi" w:cstheme="majorBidi"/>
                <w:vertAlign w:val="superscript"/>
              </w:rPr>
            </w:pPr>
            <w:r w:rsidRPr="00C805D2">
              <w:rPr>
                <w:rFonts w:asciiTheme="majorBidi" w:hAnsiTheme="majorBidi" w:cstheme="majorBidi"/>
              </w:rPr>
              <w:t xml:space="preserve">Therapy should be initiated by a physician experienced in the management of HIV infection and/or treatment of chronic hepatitis B. </w:t>
            </w:r>
          </w:p>
          <w:p w:rsidR="004005FA" w:rsidRPr="00C805D2" w:rsidRDefault="004005FA" w:rsidP="008A2416">
            <w:pPr>
              <w:bidi w:val="0"/>
              <w:rPr>
                <w:rFonts w:asciiTheme="majorBidi" w:hAnsiTheme="majorBidi" w:cstheme="majorBidi"/>
              </w:rPr>
            </w:pPr>
          </w:p>
          <w:p w:rsidR="004005FA" w:rsidRPr="00C805D2" w:rsidRDefault="004005FA" w:rsidP="008A2416">
            <w:pPr>
              <w:bidi w:val="0"/>
              <w:rPr>
                <w:rFonts w:asciiTheme="majorBidi" w:hAnsiTheme="majorBidi" w:cstheme="majorBidi"/>
              </w:rPr>
            </w:pPr>
            <w:r w:rsidRPr="00C805D2">
              <w:rPr>
                <w:rFonts w:asciiTheme="majorBidi" w:hAnsiTheme="majorBidi" w:cstheme="majorBidi"/>
              </w:rPr>
              <w:t xml:space="preserve">In exceptional circumstances in patients having particular difficulty in swallowing, </w:t>
            </w:r>
            <w:proofErr w:type="spellStart"/>
            <w:r w:rsidRPr="00C805D2">
              <w:rPr>
                <w:rFonts w:asciiTheme="majorBidi" w:hAnsiTheme="majorBidi" w:cstheme="majorBidi"/>
              </w:rPr>
              <w:t>Viread</w:t>
            </w:r>
            <w:proofErr w:type="spellEnd"/>
            <w:r w:rsidRPr="00C805D2">
              <w:rPr>
                <w:rFonts w:asciiTheme="majorBidi" w:hAnsiTheme="majorBidi" w:cstheme="majorBidi"/>
              </w:rPr>
              <w:t xml:space="preserve"> can be administered following disintegration of the tablet in at least 100 ml of water, orange juice or grape juice.</w:t>
            </w:r>
          </w:p>
          <w:p w:rsidR="004005FA" w:rsidRPr="00C805D2" w:rsidRDefault="004005FA" w:rsidP="008A2416">
            <w:pPr>
              <w:bidi w:val="0"/>
              <w:rPr>
                <w:rFonts w:asciiTheme="majorBidi" w:hAnsiTheme="majorBidi" w:cstheme="majorBidi"/>
              </w:rPr>
            </w:pPr>
          </w:p>
          <w:p w:rsidR="004005FA" w:rsidRPr="00C805D2" w:rsidRDefault="004005FA" w:rsidP="008A2416">
            <w:pPr>
              <w:bidi w:val="0"/>
              <w:rPr>
                <w:rFonts w:asciiTheme="majorBidi" w:hAnsiTheme="majorBidi" w:cstheme="majorBidi"/>
              </w:rPr>
            </w:pPr>
            <w:r w:rsidRPr="00C805D2">
              <w:rPr>
                <w:rFonts w:asciiTheme="majorBidi" w:hAnsiTheme="majorBidi" w:cstheme="majorBidi"/>
                <w:i/>
              </w:rPr>
              <w:t>Adults:</w:t>
            </w:r>
            <w:r w:rsidRPr="00C805D2">
              <w:rPr>
                <w:rFonts w:asciiTheme="majorBidi" w:hAnsiTheme="majorBidi" w:cstheme="majorBidi"/>
              </w:rPr>
              <w:t xml:space="preserve"> The recommended dose for the treatment of HIV or for the treatment of chronic hepatitis B</w:t>
            </w:r>
            <w:r w:rsidRPr="00C805D2">
              <w:rPr>
                <w:rFonts w:asciiTheme="majorBidi" w:hAnsiTheme="majorBidi" w:cstheme="majorBidi"/>
                <w:vertAlign w:val="superscript"/>
              </w:rPr>
              <w:t xml:space="preserve"> </w:t>
            </w:r>
            <w:r w:rsidRPr="00C805D2">
              <w:rPr>
                <w:rFonts w:asciiTheme="majorBidi" w:hAnsiTheme="majorBidi" w:cstheme="majorBidi"/>
              </w:rPr>
              <w:t xml:space="preserve"> is 245 mg (one tablet) once daily taken orally with food.</w:t>
            </w:r>
          </w:p>
          <w:p w:rsidR="004005FA" w:rsidRPr="00C805D2" w:rsidRDefault="004005FA" w:rsidP="008A2416">
            <w:pPr>
              <w:bidi w:val="0"/>
              <w:rPr>
                <w:rFonts w:asciiTheme="majorBidi" w:hAnsiTheme="majorBidi" w:cstheme="majorBidi"/>
              </w:rPr>
            </w:pPr>
          </w:p>
          <w:p w:rsidR="004005FA" w:rsidRPr="00C805D2" w:rsidRDefault="004005FA" w:rsidP="008A2416">
            <w:pPr>
              <w:autoSpaceDE w:val="0"/>
              <w:autoSpaceDN w:val="0"/>
              <w:bidi w:val="0"/>
              <w:adjustRightInd w:val="0"/>
              <w:rPr>
                <w:rFonts w:asciiTheme="majorBidi" w:hAnsiTheme="majorBidi" w:cstheme="majorBidi"/>
                <w:vertAlign w:val="superscript"/>
                <w:lang w:eastAsia="sv-SE"/>
              </w:rPr>
            </w:pPr>
            <w:r w:rsidRPr="00C805D2">
              <w:rPr>
                <w:rFonts w:asciiTheme="majorBidi" w:hAnsiTheme="majorBidi" w:cstheme="majorBidi"/>
                <w:i/>
              </w:rPr>
              <w:t>Chronic hepatitis B:</w:t>
            </w:r>
            <w:r w:rsidRPr="00C805D2">
              <w:rPr>
                <w:rFonts w:asciiTheme="majorBidi" w:hAnsiTheme="majorBidi" w:cstheme="majorBidi"/>
              </w:rPr>
              <w:t xml:space="preserve"> The optimal duration of treatment is unknown.  </w:t>
            </w:r>
            <w:r w:rsidRPr="00C805D2">
              <w:rPr>
                <w:rFonts w:asciiTheme="majorBidi" w:hAnsiTheme="majorBidi" w:cstheme="majorBidi"/>
                <w:lang w:eastAsia="sv-SE"/>
              </w:rPr>
              <w:t xml:space="preserve">Treatment discontinuation may be considered as follows: </w:t>
            </w:r>
          </w:p>
          <w:p w:rsidR="004005FA" w:rsidRPr="00C805D2" w:rsidRDefault="004005FA" w:rsidP="008A2416">
            <w:pPr>
              <w:autoSpaceDE w:val="0"/>
              <w:autoSpaceDN w:val="0"/>
              <w:bidi w:val="0"/>
              <w:adjustRightInd w:val="0"/>
              <w:rPr>
                <w:rFonts w:asciiTheme="majorBidi" w:hAnsiTheme="majorBidi" w:cstheme="majorBidi"/>
                <w:lang w:eastAsia="sv-SE"/>
              </w:rPr>
            </w:pPr>
          </w:p>
          <w:p w:rsidR="004005FA" w:rsidRPr="00C805D2" w:rsidRDefault="004005FA" w:rsidP="008A2416">
            <w:pPr>
              <w:autoSpaceDE w:val="0"/>
              <w:autoSpaceDN w:val="0"/>
              <w:bidi w:val="0"/>
              <w:adjustRightInd w:val="0"/>
              <w:ind w:left="567" w:hanging="567"/>
              <w:rPr>
                <w:rFonts w:asciiTheme="majorBidi" w:hAnsiTheme="majorBidi" w:cstheme="majorBidi"/>
                <w:vertAlign w:val="superscript"/>
                <w:lang w:eastAsia="sv-SE"/>
              </w:rPr>
            </w:pPr>
            <w:r w:rsidRPr="00C805D2">
              <w:rPr>
                <w:rFonts w:asciiTheme="majorBidi" w:hAnsiTheme="majorBidi" w:cstheme="majorBidi"/>
                <w:lang w:eastAsia="sv-SE"/>
              </w:rPr>
              <w:t>-</w:t>
            </w:r>
            <w:r w:rsidRPr="00C805D2">
              <w:rPr>
                <w:rFonts w:asciiTheme="majorBidi" w:hAnsiTheme="majorBidi" w:cstheme="majorBidi"/>
                <w:lang w:eastAsia="sv-SE"/>
              </w:rPr>
              <w:tab/>
              <w:t xml:space="preserve">In </w:t>
            </w:r>
            <w:proofErr w:type="spellStart"/>
            <w:r w:rsidRPr="00C805D2">
              <w:rPr>
                <w:rFonts w:asciiTheme="majorBidi" w:hAnsiTheme="majorBidi" w:cstheme="majorBidi"/>
                <w:lang w:eastAsia="sv-SE"/>
              </w:rPr>
              <w:t>HBeAg</w:t>
            </w:r>
            <w:proofErr w:type="spellEnd"/>
            <w:r w:rsidRPr="00C805D2">
              <w:rPr>
                <w:rFonts w:asciiTheme="majorBidi" w:hAnsiTheme="majorBidi" w:cstheme="majorBidi"/>
                <w:lang w:eastAsia="sv-SE"/>
              </w:rPr>
              <w:t> positive patients without cirrhosis, treatment should be administered for at least 6</w:t>
            </w:r>
            <w:r w:rsidRPr="00C805D2">
              <w:rPr>
                <w:rFonts w:asciiTheme="majorBidi" w:hAnsiTheme="majorBidi" w:cstheme="majorBidi"/>
                <w:lang w:eastAsia="sv-SE"/>
              </w:rPr>
              <w:noBreakHyphen/>
              <w:t xml:space="preserve">12 months after </w:t>
            </w:r>
            <w:proofErr w:type="spellStart"/>
            <w:r w:rsidRPr="00C805D2">
              <w:rPr>
                <w:rFonts w:asciiTheme="majorBidi" w:hAnsiTheme="majorBidi" w:cstheme="majorBidi"/>
                <w:lang w:eastAsia="sv-SE"/>
              </w:rPr>
              <w:t>HBe</w:t>
            </w:r>
            <w:proofErr w:type="spellEnd"/>
            <w:r w:rsidRPr="00C805D2">
              <w:rPr>
                <w:rFonts w:asciiTheme="majorBidi" w:hAnsiTheme="majorBidi" w:cstheme="majorBidi"/>
                <w:lang w:eastAsia="sv-SE"/>
              </w:rPr>
              <w:t> </w:t>
            </w:r>
            <w:proofErr w:type="spellStart"/>
            <w:r w:rsidRPr="00C805D2">
              <w:rPr>
                <w:rFonts w:asciiTheme="majorBidi" w:hAnsiTheme="majorBidi" w:cstheme="majorBidi"/>
                <w:lang w:eastAsia="sv-SE"/>
              </w:rPr>
              <w:t>seroconversion</w:t>
            </w:r>
            <w:proofErr w:type="spellEnd"/>
            <w:r w:rsidRPr="00C805D2">
              <w:rPr>
                <w:rFonts w:asciiTheme="majorBidi" w:hAnsiTheme="majorBidi" w:cstheme="majorBidi"/>
                <w:lang w:eastAsia="sv-SE"/>
              </w:rPr>
              <w:t xml:space="preserve"> (</w:t>
            </w:r>
            <w:proofErr w:type="spellStart"/>
            <w:r w:rsidRPr="00C805D2">
              <w:rPr>
                <w:rFonts w:asciiTheme="majorBidi" w:hAnsiTheme="majorBidi" w:cstheme="majorBidi"/>
                <w:lang w:eastAsia="sv-SE"/>
              </w:rPr>
              <w:t>HBeAg</w:t>
            </w:r>
            <w:proofErr w:type="spellEnd"/>
            <w:r w:rsidRPr="00C805D2">
              <w:rPr>
                <w:rFonts w:asciiTheme="majorBidi" w:hAnsiTheme="majorBidi" w:cstheme="majorBidi"/>
                <w:lang w:eastAsia="sv-SE"/>
              </w:rPr>
              <w:t> loss and HBV DNA loss with anti</w:t>
            </w:r>
            <w:r w:rsidRPr="00C805D2">
              <w:rPr>
                <w:rFonts w:asciiTheme="majorBidi" w:hAnsiTheme="majorBidi" w:cstheme="majorBidi"/>
                <w:lang w:eastAsia="sv-SE"/>
              </w:rPr>
              <w:noBreakHyphen/>
            </w:r>
            <w:proofErr w:type="spellStart"/>
            <w:r w:rsidRPr="00C805D2">
              <w:rPr>
                <w:rFonts w:asciiTheme="majorBidi" w:hAnsiTheme="majorBidi" w:cstheme="majorBidi"/>
                <w:lang w:eastAsia="sv-SE"/>
              </w:rPr>
              <w:t>HBe</w:t>
            </w:r>
            <w:proofErr w:type="spellEnd"/>
            <w:r w:rsidRPr="00C805D2">
              <w:rPr>
                <w:rFonts w:asciiTheme="majorBidi" w:hAnsiTheme="majorBidi" w:cstheme="majorBidi"/>
                <w:lang w:eastAsia="sv-SE"/>
              </w:rPr>
              <w:t> detection) is confirmed or until HBs </w:t>
            </w:r>
            <w:proofErr w:type="spellStart"/>
            <w:r w:rsidRPr="00C805D2">
              <w:rPr>
                <w:rFonts w:asciiTheme="majorBidi" w:hAnsiTheme="majorBidi" w:cstheme="majorBidi"/>
                <w:lang w:eastAsia="sv-SE"/>
              </w:rPr>
              <w:t>seroconversion</w:t>
            </w:r>
            <w:proofErr w:type="spellEnd"/>
            <w:r w:rsidRPr="00C805D2">
              <w:rPr>
                <w:rFonts w:asciiTheme="majorBidi" w:hAnsiTheme="majorBidi" w:cstheme="majorBidi"/>
                <w:lang w:eastAsia="sv-SE"/>
              </w:rPr>
              <w:t xml:space="preserve"> or there is loss of efficacy (see section 4.4).  Serum ALT and HBV DNA levels should be followed regularly after treatment discontinuation to detect any late </w:t>
            </w:r>
            <w:proofErr w:type="spellStart"/>
            <w:r w:rsidRPr="00C805D2">
              <w:rPr>
                <w:rFonts w:asciiTheme="majorBidi" w:hAnsiTheme="majorBidi" w:cstheme="majorBidi"/>
                <w:lang w:eastAsia="sv-SE"/>
              </w:rPr>
              <w:t>virological</w:t>
            </w:r>
            <w:proofErr w:type="spellEnd"/>
            <w:r w:rsidRPr="00C805D2">
              <w:rPr>
                <w:rFonts w:asciiTheme="majorBidi" w:hAnsiTheme="majorBidi" w:cstheme="majorBidi"/>
                <w:lang w:eastAsia="sv-SE"/>
              </w:rPr>
              <w:t xml:space="preserve"> relapse. </w:t>
            </w:r>
          </w:p>
          <w:p w:rsidR="004005FA" w:rsidRPr="00C805D2" w:rsidRDefault="004005FA" w:rsidP="008A2416">
            <w:pPr>
              <w:autoSpaceDE w:val="0"/>
              <w:autoSpaceDN w:val="0"/>
              <w:bidi w:val="0"/>
              <w:adjustRightInd w:val="0"/>
              <w:rPr>
                <w:rFonts w:asciiTheme="majorBidi" w:hAnsiTheme="majorBidi" w:cstheme="majorBidi"/>
                <w:lang w:eastAsia="sv-SE"/>
              </w:rPr>
            </w:pPr>
          </w:p>
          <w:p w:rsidR="004005FA" w:rsidRPr="00AF3486" w:rsidRDefault="004005FA" w:rsidP="008A2416">
            <w:pPr>
              <w:autoSpaceDE w:val="0"/>
              <w:autoSpaceDN w:val="0"/>
              <w:bidi w:val="0"/>
              <w:adjustRightInd w:val="0"/>
              <w:ind w:left="567" w:hanging="567"/>
              <w:rPr>
                <w:vertAlign w:val="superscript"/>
                <w:lang w:eastAsia="sv-SE"/>
              </w:rPr>
            </w:pPr>
            <w:r w:rsidRPr="00C805D2">
              <w:rPr>
                <w:rFonts w:asciiTheme="majorBidi" w:hAnsiTheme="majorBidi" w:cstheme="majorBidi"/>
                <w:lang w:eastAsia="sv-SE"/>
              </w:rPr>
              <w:t>-</w:t>
            </w:r>
            <w:r w:rsidRPr="00C805D2">
              <w:rPr>
                <w:rFonts w:asciiTheme="majorBidi" w:hAnsiTheme="majorBidi" w:cstheme="majorBidi"/>
                <w:lang w:eastAsia="sv-SE"/>
              </w:rPr>
              <w:tab/>
              <w:t xml:space="preserve">In </w:t>
            </w:r>
            <w:proofErr w:type="spellStart"/>
            <w:r w:rsidRPr="00C805D2">
              <w:rPr>
                <w:rFonts w:asciiTheme="majorBidi" w:hAnsiTheme="majorBidi" w:cstheme="majorBidi"/>
                <w:lang w:eastAsia="sv-SE"/>
              </w:rPr>
              <w:t>HBeAg</w:t>
            </w:r>
            <w:proofErr w:type="spellEnd"/>
            <w:r w:rsidRPr="00C805D2">
              <w:rPr>
                <w:rFonts w:asciiTheme="majorBidi" w:hAnsiTheme="majorBidi" w:cstheme="majorBidi"/>
                <w:lang w:eastAsia="sv-SE"/>
              </w:rPr>
              <w:t> negative patients without cirrhosis, treatment should be administered at least until HBs </w:t>
            </w:r>
            <w:proofErr w:type="spellStart"/>
            <w:r w:rsidRPr="00C805D2">
              <w:rPr>
                <w:rFonts w:asciiTheme="majorBidi" w:hAnsiTheme="majorBidi" w:cstheme="majorBidi"/>
                <w:lang w:eastAsia="sv-SE"/>
              </w:rPr>
              <w:t>seroconversion</w:t>
            </w:r>
            <w:proofErr w:type="spellEnd"/>
            <w:r w:rsidRPr="00C805D2">
              <w:rPr>
                <w:rFonts w:asciiTheme="majorBidi" w:hAnsiTheme="majorBidi" w:cstheme="majorBidi"/>
                <w:lang w:eastAsia="sv-SE"/>
              </w:rPr>
              <w:t xml:space="preserve"> or there is evidence of loss of efficacy.  With prolonged treatment for more than 2 years, regular reassessment is </w:t>
            </w:r>
            <w:r w:rsidRPr="00C805D2">
              <w:rPr>
                <w:rFonts w:asciiTheme="majorBidi" w:hAnsiTheme="majorBidi" w:cstheme="majorBidi"/>
                <w:lang w:eastAsia="sv-SE"/>
              </w:rPr>
              <w:lastRenderedPageBreak/>
              <w:t xml:space="preserve">recommended to confirm that continuing the selected therapy remains appropriate for the patient. </w:t>
            </w:r>
          </w:p>
          <w:p w:rsidR="004005FA" w:rsidRPr="00F07F53" w:rsidRDefault="004005FA" w:rsidP="008A2416">
            <w:pPr>
              <w:bidi w:val="0"/>
              <w:rPr>
                <w:rFonts w:asciiTheme="majorBidi" w:hAnsiTheme="majorBidi" w:cstheme="majorBidi"/>
              </w:rPr>
            </w:pPr>
          </w:p>
        </w:tc>
        <w:tc>
          <w:tcPr>
            <w:tcW w:w="3834" w:type="dxa"/>
          </w:tcPr>
          <w:p w:rsidR="004005FA" w:rsidRDefault="004005FA" w:rsidP="008A2416">
            <w:pPr>
              <w:bidi w:val="0"/>
            </w:pPr>
          </w:p>
          <w:p w:rsidR="004005FA" w:rsidRDefault="004005FA" w:rsidP="008A2416">
            <w:pPr>
              <w:bidi w:val="0"/>
              <w:rPr>
                <w:rFonts w:asciiTheme="majorBidi" w:hAnsiTheme="majorBidi" w:cstheme="majorBidi"/>
              </w:rPr>
            </w:pPr>
            <w:r w:rsidRPr="00C805D2">
              <w:rPr>
                <w:rFonts w:asciiTheme="majorBidi" w:hAnsiTheme="majorBidi" w:cstheme="majorBidi"/>
              </w:rPr>
              <w:t xml:space="preserve">Therapy should be initiated by a physician experienced in the management of HIV infection and/or treatment of chronic hepatitis B. </w:t>
            </w:r>
          </w:p>
          <w:p w:rsidR="004005FA" w:rsidRDefault="004005FA" w:rsidP="008A2416">
            <w:pPr>
              <w:bidi w:val="0"/>
              <w:rPr>
                <w:rFonts w:asciiTheme="majorBidi" w:hAnsiTheme="majorBidi" w:cstheme="majorBidi"/>
                <w:vertAlign w:val="superscript"/>
              </w:rPr>
            </w:pPr>
          </w:p>
          <w:p w:rsidR="004005FA" w:rsidRPr="00C805D2" w:rsidRDefault="004005FA" w:rsidP="008A2416">
            <w:pPr>
              <w:autoSpaceDE w:val="0"/>
              <w:autoSpaceDN w:val="0"/>
              <w:bidi w:val="0"/>
              <w:adjustRightInd w:val="0"/>
              <w:rPr>
                <w:rFonts w:ascii="TimesNewRomanPSMT" w:hAnsi="TimesNewRomanPSMT" w:cs="TimesNewRomanPSMT"/>
                <w:strike/>
                <w:highlight w:val="green"/>
              </w:rPr>
            </w:pPr>
            <w:r w:rsidRPr="00C805D2">
              <w:rPr>
                <w:rFonts w:ascii="TimesNewRomanPSMT" w:hAnsi="TimesNewRomanPSMT" w:cs="TimesNewRomanPSMT"/>
                <w:strike/>
                <w:highlight w:val="green"/>
              </w:rPr>
              <w:t xml:space="preserve">In exceptional circumstances in patients having particular difficulty in swallowing, </w:t>
            </w:r>
            <w:proofErr w:type="spellStart"/>
            <w:r w:rsidRPr="00C805D2">
              <w:rPr>
                <w:rFonts w:ascii="TimesNewRomanPSMT" w:hAnsi="TimesNewRomanPSMT" w:cs="TimesNewRomanPSMT"/>
                <w:strike/>
                <w:highlight w:val="green"/>
              </w:rPr>
              <w:t>Viread</w:t>
            </w:r>
            <w:proofErr w:type="spellEnd"/>
            <w:r w:rsidRPr="00C805D2">
              <w:rPr>
                <w:rFonts w:ascii="TimesNewRomanPSMT" w:hAnsi="TimesNewRomanPSMT" w:cs="TimesNewRomanPSMT"/>
                <w:strike/>
                <w:highlight w:val="green"/>
              </w:rPr>
              <w:t xml:space="preserve"> can be</w:t>
            </w:r>
          </w:p>
          <w:p w:rsidR="004005FA" w:rsidRPr="00C805D2" w:rsidRDefault="004005FA" w:rsidP="008A2416">
            <w:pPr>
              <w:autoSpaceDE w:val="0"/>
              <w:autoSpaceDN w:val="0"/>
              <w:bidi w:val="0"/>
              <w:adjustRightInd w:val="0"/>
              <w:rPr>
                <w:rFonts w:ascii="TimesNewRomanPSMT" w:hAnsi="TimesNewRomanPSMT" w:cs="TimesNewRomanPSMT"/>
                <w:strike/>
                <w:highlight w:val="green"/>
              </w:rPr>
            </w:pPr>
            <w:r w:rsidRPr="00C805D2">
              <w:rPr>
                <w:rFonts w:ascii="TimesNewRomanPSMT" w:hAnsi="TimesNewRomanPSMT" w:cs="TimesNewRomanPSMT"/>
                <w:strike/>
                <w:highlight w:val="green"/>
              </w:rPr>
              <w:t>administered following disintegration of the tablet in at least 100 ml of water, orange juice or grape</w:t>
            </w:r>
          </w:p>
          <w:p w:rsidR="004005FA" w:rsidRPr="00C805D2" w:rsidRDefault="004005FA" w:rsidP="008A2416">
            <w:pPr>
              <w:bidi w:val="0"/>
              <w:rPr>
                <w:strike/>
              </w:rPr>
            </w:pPr>
            <w:proofErr w:type="gramStart"/>
            <w:r w:rsidRPr="00C805D2">
              <w:rPr>
                <w:rFonts w:ascii="TimesNewRomanPSMT" w:hAnsi="TimesNewRomanPSMT" w:cs="TimesNewRomanPSMT"/>
                <w:strike/>
                <w:highlight w:val="green"/>
              </w:rPr>
              <w:t>juice</w:t>
            </w:r>
            <w:proofErr w:type="gramEnd"/>
            <w:r w:rsidRPr="00C805D2">
              <w:rPr>
                <w:rFonts w:ascii="TimesNewRomanPSMT" w:hAnsi="TimesNewRomanPSMT" w:cs="TimesNewRomanPSMT"/>
                <w:strike/>
                <w:highlight w:val="green"/>
              </w:rPr>
              <w:t>.</w:t>
            </w:r>
          </w:p>
          <w:p w:rsidR="004005FA" w:rsidRPr="00C805D2" w:rsidRDefault="004005FA" w:rsidP="008A2416">
            <w:pPr>
              <w:bidi w:val="0"/>
              <w:rPr>
                <w:rFonts w:asciiTheme="majorBidi" w:hAnsiTheme="majorBidi" w:cstheme="majorBidi"/>
              </w:rPr>
            </w:pPr>
          </w:p>
          <w:p w:rsidR="004005FA" w:rsidRPr="00C805D2" w:rsidRDefault="004005FA" w:rsidP="008A2416">
            <w:pPr>
              <w:bidi w:val="0"/>
              <w:rPr>
                <w:rFonts w:asciiTheme="majorBidi" w:hAnsiTheme="majorBidi" w:cstheme="majorBidi"/>
              </w:rPr>
            </w:pPr>
            <w:r w:rsidRPr="00C805D2">
              <w:rPr>
                <w:rFonts w:asciiTheme="majorBidi" w:hAnsiTheme="majorBidi" w:cstheme="majorBidi"/>
                <w:highlight w:val="yellow"/>
              </w:rPr>
              <w:t>Posology</w:t>
            </w:r>
          </w:p>
          <w:p w:rsidR="004005FA" w:rsidRPr="00C805D2" w:rsidRDefault="004005FA" w:rsidP="008A2416">
            <w:pPr>
              <w:bidi w:val="0"/>
              <w:rPr>
                <w:rFonts w:asciiTheme="majorBidi" w:hAnsiTheme="majorBidi" w:cstheme="majorBidi"/>
              </w:rPr>
            </w:pPr>
            <w:r w:rsidRPr="00C805D2">
              <w:rPr>
                <w:rFonts w:asciiTheme="majorBidi" w:hAnsiTheme="majorBidi" w:cstheme="majorBidi"/>
                <w:i/>
              </w:rPr>
              <w:t>Adults:</w:t>
            </w:r>
            <w:r w:rsidRPr="00C805D2">
              <w:rPr>
                <w:rFonts w:asciiTheme="majorBidi" w:hAnsiTheme="majorBidi" w:cstheme="majorBidi"/>
              </w:rPr>
              <w:t xml:space="preserve"> The recommended dose of </w:t>
            </w:r>
            <w:proofErr w:type="spellStart"/>
            <w:r w:rsidRPr="00C805D2">
              <w:rPr>
                <w:rFonts w:asciiTheme="majorBidi" w:hAnsiTheme="majorBidi" w:cstheme="majorBidi"/>
              </w:rPr>
              <w:t>Viread</w:t>
            </w:r>
            <w:proofErr w:type="spellEnd"/>
            <w:r w:rsidRPr="00C805D2">
              <w:rPr>
                <w:rFonts w:asciiTheme="majorBidi" w:hAnsiTheme="majorBidi" w:cstheme="majorBidi"/>
              </w:rPr>
              <w:t xml:space="preserve"> for the treatment of HIV or for the treatment of chronic hepatitis B</w:t>
            </w:r>
            <w:r w:rsidRPr="00C805D2">
              <w:rPr>
                <w:rFonts w:asciiTheme="majorBidi" w:hAnsiTheme="majorBidi" w:cstheme="majorBidi"/>
                <w:vertAlign w:val="superscript"/>
              </w:rPr>
              <w:t xml:space="preserve"> </w:t>
            </w:r>
            <w:r w:rsidRPr="00C805D2">
              <w:rPr>
                <w:rFonts w:asciiTheme="majorBidi" w:hAnsiTheme="majorBidi" w:cstheme="majorBidi"/>
              </w:rPr>
              <w:t>is 245 mg (one tablet) once daily taken orally with food.</w:t>
            </w:r>
          </w:p>
          <w:p w:rsidR="004005FA" w:rsidRPr="00C805D2" w:rsidRDefault="004005FA" w:rsidP="008A2416">
            <w:pPr>
              <w:bidi w:val="0"/>
              <w:rPr>
                <w:rFonts w:asciiTheme="majorBidi" w:hAnsiTheme="majorBidi" w:cstheme="majorBidi"/>
              </w:rPr>
            </w:pPr>
          </w:p>
          <w:p w:rsidR="004005FA" w:rsidRPr="00C805D2" w:rsidRDefault="004005FA" w:rsidP="008A2416">
            <w:pPr>
              <w:autoSpaceDE w:val="0"/>
              <w:autoSpaceDN w:val="0"/>
              <w:bidi w:val="0"/>
              <w:adjustRightInd w:val="0"/>
              <w:rPr>
                <w:rFonts w:asciiTheme="majorBidi" w:hAnsiTheme="majorBidi" w:cstheme="majorBidi"/>
                <w:vertAlign w:val="superscript"/>
                <w:lang w:eastAsia="sv-SE"/>
              </w:rPr>
            </w:pPr>
            <w:r w:rsidRPr="00C805D2">
              <w:rPr>
                <w:rFonts w:asciiTheme="majorBidi" w:hAnsiTheme="majorBidi" w:cstheme="majorBidi"/>
                <w:i/>
              </w:rPr>
              <w:t>Chronic hepatitis B:</w:t>
            </w:r>
            <w:r w:rsidRPr="00C805D2">
              <w:rPr>
                <w:rFonts w:asciiTheme="majorBidi" w:hAnsiTheme="majorBidi" w:cstheme="majorBidi"/>
              </w:rPr>
              <w:t xml:space="preserve"> The optimal duration of treatment is unknown.  </w:t>
            </w:r>
            <w:r w:rsidRPr="00C805D2">
              <w:rPr>
                <w:rFonts w:asciiTheme="majorBidi" w:hAnsiTheme="majorBidi" w:cstheme="majorBidi"/>
                <w:lang w:eastAsia="sv-SE"/>
              </w:rPr>
              <w:t xml:space="preserve">Treatment discontinuation may be considered as follows: </w:t>
            </w:r>
          </w:p>
          <w:p w:rsidR="004005FA" w:rsidRPr="00C805D2" w:rsidRDefault="004005FA" w:rsidP="008A2416">
            <w:pPr>
              <w:autoSpaceDE w:val="0"/>
              <w:autoSpaceDN w:val="0"/>
              <w:bidi w:val="0"/>
              <w:adjustRightInd w:val="0"/>
              <w:rPr>
                <w:rFonts w:asciiTheme="majorBidi" w:hAnsiTheme="majorBidi" w:cstheme="majorBidi"/>
                <w:lang w:eastAsia="sv-SE"/>
              </w:rPr>
            </w:pPr>
          </w:p>
          <w:p w:rsidR="004005FA" w:rsidRPr="00C805D2" w:rsidRDefault="004005FA" w:rsidP="008A2416">
            <w:pPr>
              <w:autoSpaceDE w:val="0"/>
              <w:autoSpaceDN w:val="0"/>
              <w:bidi w:val="0"/>
              <w:adjustRightInd w:val="0"/>
              <w:ind w:left="567" w:hanging="567"/>
              <w:rPr>
                <w:rFonts w:asciiTheme="majorBidi" w:hAnsiTheme="majorBidi" w:cstheme="majorBidi"/>
                <w:vertAlign w:val="superscript"/>
                <w:lang w:eastAsia="sv-SE"/>
              </w:rPr>
            </w:pPr>
            <w:r w:rsidRPr="00C805D2">
              <w:rPr>
                <w:rFonts w:asciiTheme="majorBidi" w:hAnsiTheme="majorBidi" w:cstheme="majorBidi"/>
                <w:lang w:eastAsia="sv-SE"/>
              </w:rPr>
              <w:t>-</w:t>
            </w:r>
            <w:r w:rsidRPr="00C805D2">
              <w:rPr>
                <w:rFonts w:asciiTheme="majorBidi" w:hAnsiTheme="majorBidi" w:cstheme="majorBidi"/>
                <w:lang w:eastAsia="sv-SE"/>
              </w:rPr>
              <w:tab/>
              <w:t xml:space="preserve">In </w:t>
            </w:r>
            <w:proofErr w:type="spellStart"/>
            <w:r w:rsidRPr="00C805D2">
              <w:rPr>
                <w:rFonts w:asciiTheme="majorBidi" w:hAnsiTheme="majorBidi" w:cstheme="majorBidi"/>
                <w:lang w:eastAsia="sv-SE"/>
              </w:rPr>
              <w:t>HBeAg</w:t>
            </w:r>
            <w:proofErr w:type="spellEnd"/>
            <w:r w:rsidRPr="00C805D2">
              <w:rPr>
                <w:rFonts w:asciiTheme="majorBidi" w:hAnsiTheme="majorBidi" w:cstheme="majorBidi"/>
                <w:lang w:eastAsia="sv-SE"/>
              </w:rPr>
              <w:t> positive patients without cirrhosis, treatment should be administered for at least 6</w:t>
            </w:r>
            <w:r w:rsidRPr="00C805D2">
              <w:rPr>
                <w:rFonts w:asciiTheme="majorBidi" w:hAnsiTheme="majorBidi" w:cstheme="majorBidi"/>
                <w:lang w:eastAsia="sv-SE"/>
              </w:rPr>
              <w:noBreakHyphen/>
              <w:t xml:space="preserve">12 months after </w:t>
            </w:r>
            <w:proofErr w:type="spellStart"/>
            <w:r w:rsidRPr="00C805D2">
              <w:rPr>
                <w:rFonts w:asciiTheme="majorBidi" w:hAnsiTheme="majorBidi" w:cstheme="majorBidi"/>
                <w:lang w:eastAsia="sv-SE"/>
              </w:rPr>
              <w:t>HBe</w:t>
            </w:r>
            <w:proofErr w:type="spellEnd"/>
            <w:r w:rsidRPr="00C805D2">
              <w:rPr>
                <w:rFonts w:asciiTheme="majorBidi" w:hAnsiTheme="majorBidi" w:cstheme="majorBidi"/>
                <w:lang w:eastAsia="sv-SE"/>
              </w:rPr>
              <w:t> </w:t>
            </w:r>
            <w:proofErr w:type="spellStart"/>
            <w:r w:rsidRPr="00C805D2">
              <w:rPr>
                <w:rFonts w:asciiTheme="majorBidi" w:hAnsiTheme="majorBidi" w:cstheme="majorBidi"/>
                <w:lang w:eastAsia="sv-SE"/>
              </w:rPr>
              <w:t>seroconversion</w:t>
            </w:r>
            <w:proofErr w:type="spellEnd"/>
            <w:r w:rsidRPr="00C805D2">
              <w:rPr>
                <w:rFonts w:asciiTheme="majorBidi" w:hAnsiTheme="majorBidi" w:cstheme="majorBidi"/>
                <w:lang w:eastAsia="sv-SE"/>
              </w:rPr>
              <w:t xml:space="preserve"> (</w:t>
            </w:r>
            <w:proofErr w:type="spellStart"/>
            <w:r w:rsidRPr="00C805D2">
              <w:rPr>
                <w:rFonts w:asciiTheme="majorBidi" w:hAnsiTheme="majorBidi" w:cstheme="majorBidi"/>
                <w:lang w:eastAsia="sv-SE"/>
              </w:rPr>
              <w:t>HBeAg</w:t>
            </w:r>
            <w:proofErr w:type="spellEnd"/>
            <w:r w:rsidRPr="00C805D2">
              <w:rPr>
                <w:rFonts w:asciiTheme="majorBidi" w:hAnsiTheme="majorBidi" w:cstheme="majorBidi"/>
                <w:lang w:eastAsia="sv-SE"/>
              </w:rPr>
              <w:t> loss and HBV DNA loss with anti</w:t>
            </w:r>
            <w:r w:rsidRPr="00C805D2">
              <w:rPr>
                <w:rFonts w:asciiTheme="majorBidi" w:hAnsiTheme="majorBidi" w:cstheme="majorBidi"/>
                <w:lang w:eastAsia="sv-SE"/>
              </w:rPr>
              <w:noBreakHyphen/>
            </w:r>
            <w:proofErr w:type="spellStart"/>
            <w:r w:rsidRPr="00C805D2">
              <w:rPr>
                <w:rFonts w:asciiTheme="majorBidi" w:hAnsiTheme="majorBidi" w:cstheme="majorBidi"/>
                <w:lang w:eastAsia="sv-SE"/>
              </w:rPr>
              <w:t>HBe</w:t>
            </w:r>
            <w:proofErr w:type="spellEnd"/>
            <w:r w:rsidRPr="00C805D2">
              <w:rPr>
                <w:rFonts w:asciiTheme="majorBidi" w:hAnsiTheme="majorBidi" w:cstheme="majorBidi"/>
                <w:lang w:eastAsia="sv-SE"/>
              </w:rPr>
              <w:t> detection) is confirmed or until HBs </w:t>
            </w:r>
            <w:proofErr w:type="spellStart"/>
            <w:r w:rsidRPr="00C805D2">
              <w:rPr>
                <w:rFonts w:asciiTheme="majorBidi" w:hAnsiTheme="majorBidi" w:cstheme="majorBidi"/>
                <w:lang w:eastAsia="sv-SE"/>
              </w:rPr>
              <w:t>seroconversion</w:t>
            </w:r>
            <w:proofErr w:type="spellEnd"/>
            <w:r w:rsidRPr="00C805D2">
              <w:rPr>
                <w:rFonts w:asciiTheme="majorBidi" w:hAnsiTheme="majorBidi" w:cstheme="majorBidi"/>
                <w:lang w:eastAsia="sv-SE"/>
              </w:rPr>
              <w:t xml:space="preserve"> or there is loss of efficacy (see section 4.4).  Serum ALT and HBV DNA levels should be followed regularly after treatment discontinuation to detect any late </w:t>
            </w:r>
            <w:proofErr w:type="spellStart"/>
            <w:r w:rsidRPr="00C805D2">
              <w:rPr>
                <w:rFonts w:asciiTheme="majorBidi" w:hAnsiTheme="majorBidi" w:cstheme="majorBidi"/>
                <w:lang w:eastAsia="sv-SE"/>
              </w:rPr>
              <w:t>virological</w:t>
            </w:r>
            <w:proofErr w:type="spellEnd"/>
            <w:r w:rsidRPr="00C805D2">
              <w:rPr>
                <w:rFonts w:asciiTheme="majorBidi" w:hAnsiTheme="majorBidi" w:cstheme="majorBidi"/>
                <w:lang w:eastAsia="sv-SE"/>
              </w:rPr>
              <w:t xml:space="preserve"> relapse. </w:t>
            </w:r>
          </w:p>
          <w:p w:rsidR="004005FA" w:rsidRPr="00C805D2" w:rsidRDefault="004005FA" w:rsidP="008A2416">
            <w:pPr>
              <w:autoSpaceDE w:val="0"/>
              <w:autoSpaceDN w:val="0"/>
              <w:bidi w:val="0"/>
              <w:adjustRightInd w:val="0"/>
              <w:rPr>
                <w:rFonts w:asciiTheme="majorBidi" w:hAnsiTheme="majorBidi" w:cstheme="majorBidi"/>
                <w:lang w:eastAsia="sv-SE"/>
              </w:rPr>
            </w:pPr>
          </w:p>
          <w:p w:rsidR="004005FA" w:rsidRPr="00C805D2" w:rsidRDefault="004005FA" w:rsidP="008A2416">
            <w:pPr>
              <w:autoSpaceDE w:val="0"/>
              <w:autoSpaceDN w:val="0"/>
              <w:bidi w:val="0"/>
              <w:adjustRightInd w:val="0"/>
              <w:ind w:left="567" w:hanging="567"/>
              <w:rPr>
                <w:rFonts w:asciiTheme="majorBidi" w:hAnsiTheme="majorBidi" w:cstheme="majorBidi"/>
                <w:vertAlign w:val="superscript"/>
                <w:lang w:eastAsia="sv-SE"/>
              </w:rPr>
            </w:pPr>
            <w:r w:rsidRPr="00C805D2">
              <w:rPr>
                <w:rFonts w:asciiTheme="majorBidi" w:hAnsiTheme="majorBidi" w:cstheme="majorBidi"/>
                <w:lang w:eastAsia="sv-SE"/>
              </w:rPr>
              <w:t>-</w:t>
            </w:r>
            <w:r w:rsidRPr="00C805D2">
              <w:rPr>
                <w:rFonts w:asciiTheme="majorBidi" w:hAnsiTheme="majorBidi" w:cstheme="majorBidi"/>
                <w:lang w:eastAsia="sv-SE"/>
              </w:rPr>
              <w:tab/>
              <w:t xml:space="preserve">In </w:t>
            </w:r>
            <w:proofErr w:type="spellStart"/>
            <w:r w:rsidRPr="00C805D2">
              <w:rPr>
                <w:rFonts w:asciiTheme="majorBidi" w:hAnsiTheme="majorBidi" w:cstheme="majorBidi"/>
                <w:lang w:eastAsia="sv-SE"/>
              </w:rPr>
              <w:t>HBeAg</w:t>
            </w:r>
            <w:proofErr w:type="spellEnd"/>
            <w:r w:rsidRPr="00C805D2">
              <w:rPr>
                <w:rFonts w:asciiTheme="majorBidi" w:hAnsiTheme="majorBidi" w:cstheme="majorBidi"/>
                <w:lang w:eastAsia="sv-SE"/>
              </w:rPr>
              <w:t xml:space="preserve"> negative patients without cirrhosis, treatment should be administered at least </w:t>
            </w:r>
            <w:r w:rsidRPr="00C805D2">
              <w:rPr>
                <w:rFonts w:asciiTheme="majorBidi" w:hAnsiTheme="majorBidi" w:cstheme="majorBidi"/>
                <w:lang w:eastAsia="sv-SE"/>
              </w:rPr>
              <w:lastRenderedPageBreak/>
              <w:t>until HBs </w:t>
            </w:r>
            <w:proofErr w:type="spellStart"/>
            <w:r w:rsidRPr="00C805D2">
              <w:rPr>
                <w:rFonts w:asciiTheme="majorBidi" w:hAnsiTheme="majorBidi" w:cstheme="majorBidi"/>
                <w:lang w:eastAsia="sv-SE"/>
              </w:rPr>
              <w:t>seroconversion</w:t>
            </w:r>
            <w:proofErr w:type="spellEnd"/>
            <w:r w:rsidRPr="00C805D2">
              <w:rPr>
                <w:rFonts w:asciiTheme="majorBidi" w:hAnsiTheme="majorBidi" w:cstheme="majorBidi"/>
                <w:lang w:eastAsia="sv-SE"/>
              </w:rPr>
              <w:t xml:space="preserve"> or there is evidence of loss of efficacy.  With prolonged treatment for more than 2 years, regular reassessment is recommended to confirm that continuing the selected therapy remains appropriate for the patient. </w:t>
            </w:r>
          </w:p>
          <w:p w:rsidR="004005FA" w:rsidRPr="00C805D2" w:rsidRDefault="004005FA" w:rsidP="008A2416">
            <w:pPr>
              <w:autoSpaceDE w:val="0"/>
              <w:autoSpaceDN w:val="0"/>
              <w:bidi w:val="0"/>
              <w:adjustRightInd w:val="0"/>
              <w:ind w:left="567" w:hanging="567"/>
              <w:rPr>
                <w:rFonts w:asciiTheme="majorBidi" w:hAnsiTheme="majorBidi" w:cstheme="majorBidi"/>
                <w:vertAlign w:val="superscript"/>
                <w:lang w:eastAsia="sv-SE"/>
              </w:rPr>
            </w:pPr>
          </w:p>
          <w:p w:rsidR="004005FA" w:rsidRPr="00960207" w:rsidRDefault="004005FA" w:rsidP="00132C84">
            <w:pPr>
              <w:autoSpaceDE w:val="0"/>
              <w:autoSpaceDN w:val="0"/>
              <w:bidi w:val="0"/>
              <w:adjustRightInd w:val="0"/>
              <w:jc w:val="both"/>
              <w:rPr>
                <w:rFonts w:ascii="TimesNewRomanPSMT" w:hAnsi="TimesNewRomanPSMT" w:cs="TimesNewRomanPSMT"/>
                <w:highlight w:val="yellow"/>
              </w:rPr>
            </w:pPr>
            <w:r w:rsidRPr="00960207">
              <w:rPr>
                <w:rFonts w:ascii="TimesNewRomanPSMT" w:hAnsi="TimesNewRomanPSMT" w:cs="TimesNewRomanPSMT"/>
                <w:highlight w:val="yellow"/>
              </w:rPr>
              <w:t xml:space="preserve">If a patient misses a dose of </w:t>
            </w:r>
            <w:proofErr w:type="spellStart"/>
            <w:r w:rsidRPr="00960207">
              <w:rPr>
                <w:rFonts w:ascii="TimesNewRomanPSMT" w:hAnsi="TimesNewRomanPSMT" w:cs="TimesNewRomanPSMT"/>
                <w:highlight w:val="yellow"/>
              </w:rPr>
              <w:t>Viread</w:t>
            </w:r>
            <w:proofErr w:type="spellEnd"/>
            <w:r w:rsidRPr="00960207">
              <w:rPr>
                <w:rFonts w:ascii="TimesNewRomanPSMT" w:hAnsi="TimesNewRomanPSMT" w:cs="TimesNewRomanPSMT"/>
                <w:highlight w:val="yellow"/>
              </w:rPr>
              <w:t xml:space="preserve"> within 12 hours of the time it is usually taken the patient should</w:t>
            </w:r>
          </w:p>
          <w:p w:rsidR="004005FA" w:rsidRPr="00960207" w:rsidRDefault="004005FA" w:rsidP="00132C84">
            <w:pPr>
              <w:autoSpaceDE w:val="0"/>
              <w:autoSpaceDN w:val="0"/>
              <w:bidi w:val="0"/>
              <w:adjustRightInd w:val="0"/>
              <w:jc w:val="both"/>
              <w:rPr>
                <w:rFonts w:ascii="TimesNewRomanPSMT" w:hAnsi="TimesNewRomanPSMT" w:cs="TimesNewRomanPSMT"/>
                <w:highlight w:val="yellow"/>
              </w:rPr>
            </w:pPr>
            <w:proofErr w:type="gramStart"/>
            <w:r w:rsidRPr="00960207">
              <w:rPr>
                <w:rFonts w:ascii="TimesNewRomanPSMT" w:hAnsi="TimesNewRomanPSMT" w:cs="TimesNewRomanPSMT"/>
                <w:highlight w:val="yellow"/>
              </w:rPr>
              <w:t>take</w:t>
            </w:r>
            <w:proofErr w:type="gramEnd"/>
            <w:r w:rsidRPr="00960207">
              <w:rPr>
                <w:rFonts w:ascii="TimesNewRomanPSMT" w:hAnsi="TimesNewRomanPSMT" w:cs="TimesNewRomanPSMT"/>
                <w:highlight w:val="yellow"/>
              </w:rPr>
              <w:t xml:space="preserve"> </w:t>
            </w:r>
            <w:proofErr w:type="spellStart"/>
            <w:r w:rsidRPr="00960207">
              <w:rPr>
                <w:rFonts w:ascii="TimesNewRomanPSMT" w:hAnsi="TimesNewRomanPSMT" w:cs="TimesNewRomanPSMT"/>
                <w:highlight w:val="yellow"/>
              </w:rPr>
              <w:t>Viread</w:t>
            </w:r>
            <w:proofErr w:type="spellEnd"/>
            <w:r w:rsidRPr="00960207">
              <w:rPr>
                <w:rFonts w:ascii="TimesNewRomanPSMT" w:hAnsi="TimesNewRomanPSMT" w:cs="TimesNewRomanPSMT"/>
                <w:highlight w:val="yellow"/>
              </w:rPr>
              <w:t xml:space="preserve"> with food as soon as possible and resume their normal dosing schedule. If a patient misses</w:t>
            </w:r>
          </w:p>
          <w:p w:rsidR="004005FA" w:rsidRPr="00960207" w:rsidRDefault="004005FA" w:rsidP="00132C84">
            <w:pPr>
              <w:autoSpaceDE w:val="0"/>
              <w:autoSpaceDN w:val="0"/>
              <w:bidi w:val="0"/>
              <w:adjustRightInd w:val="0"/>
              <w:jc w:val="both"/>
              <w:rPr>
                <w:rFonts w:ascii="TimesNewRomanPSMT" w:hAnsi="TimesNewRomanPSMT" w:cs="TimesNewRomanPSMT"/>
                <w:highlight w:val="yellow"/>
              </w:rPr>
            </w:pPr>
            <w:r w:rsidRPr="00960207">
              <w:rPr>
                <w:rFonts w:ascii="TimesNewRomanPSMT" w:hAnsi="TimesNewRomanPSMT" w:cs="TimesNewRomanPSMT"/>
                <w:highlight w:val="yellow"/>
              </w:rPr>
              <w:t xml:space="preserve">a dose of </w:t>
            </w:r>
            <w:proofErr w:type="spellStart"/>
            <w:r w:rsidRPr="00960207">
              <w:rPr>
                <w:rFonts w:ascii="TimesNewRomanPSMT" w:hAnsi="TimesNewRomanPSMT" w:cs="TimesNewRomanPSMT"/>
                <w:highlight w:val="yellow"/>
              </w:rPr>
              <w:t>Viread</w:t>
            </w:r>
            <w:proofErr w:type="spellEnd"/>
            <w:r w:rsidRPr="00960207">
              <w:rPr>
                <w:rFonts w:ascii="TimesNewRomanPSMT" w:hAnsi="TimesNewRomanPSMT" w:cs="TimesNewRomanPSMT"/>
                <w:highlight w:val="yellow"/>
              </w:rPr>
              <w:t xml:space="preserve"> by more than 12 hours and it is almost time for their next dose, the patient should not</w:t>
            </w:r>
          </w:p>
          <w:p w:rsidR="004005FA" w:rsidRPr="00960207" w:rsidRDefault="004005FA" w:rsidP="00132C84">
            <w:pPr>
              <w:autoSpaceDE w:val="0"/>
              <w:autoSpaceDN w:val="0"/>
              <w:bidi w:val="0"/>
              <w:adjustRightInd w:val="0"/>
              <w:jc w:val="both"/>
              <w:rPr>
                <w:rFonts w:ascii="TimesNewRomanPSMT" w:hAnsi="TimesNewRomanPSMT" w:cs="TimesNewRomanPSMT"/>
                <w:highlight w:val="yellow"/>
              </w:rPr>
            </w:pPr>
            <w:proofErr w:type="gramStart"/>
            <w:r w:rsidRPr="00960207">
              <w:rPr>
                <w:rFonts w:ascii="TimesNewRomanPSMT" w:hAnsi="TimesNewRomanPSMT" w:cs="TimesNewRomanPSMT"/>
                <w:highlight w:val="yellow"/>
              </w:rPr>
              <w:t>take</w:t>
            </w:r>
            <w:proofErr w:type="gramEnd"/>
            <w:r w:rsidRPr="00960207">
              <w:rPr>
                <w:rFonts w:ascii="TimesNewRomanPSMT" w:hAnsi="TimesNewRomanPSMT" w:cs="TimesNewRomanPSMT"/>
                <w:highlight w:val="yellow"/>
              </w:rPr>
              <w:t xml:space="preserve"> the missed dose and simply resume the usual dosing schedule.</w:t>
            </w:r>
          </w:p>
          <w:p w:rsidR="004005FA" w:rsidRPr="00960207" w:rsidRDefault="004005FA" w:rsidP="00132C84">
            <w:pPr>
              <w:autoSpaceDE w:val="0"/>
              <w:autoSpaceDN w:val="0"/>
              <w:bidi w:val="0"/>
              <w:adjustRightInd w:val="0"/>
              <w:jc w:val="both"/>
              <w:rPr>
                <w:rFonts w:ascii="TimesNewRomanPSMT" w:hAnsi="TimesNewRomanPSMT" w:cs="TimesNewRomanPSMT"/>
                <w:highlight w:val="yellow"/>
              </w:rPr>
            </w:pPr>
          </w:p>
          <w:p w:rsidR="004005FA" w:rsidRPr="00960207" w:rsidRDefault="004005FA" w:rsidP="00132C84">
            <w:pPr>
              <w:autoSpaceDE w:val="0"/>
              <w:autoSpaceDN w:val="0"/>
              <w:bidi w:val="0"/>
              <w:adjustRightInd w:val="0"/>
              <w:jc w:val="both"/>
              <w:rPr>
                <w:rFonts w:ascii="TimesNewRomanPSMT" w:hAnsi="TimesNewRomanPSMT" w:cs="TimesNewRomanPSMT"/>
                <w:highlight w:val="yellow"/>
              </w:rPr>
            </w:pPr>
            <w:r w:rsidRPr="00960207">
              <w:rPr>
                <w:rFonts w:ascii="TimesNewRomanPSMT" w:hAnsi="TimesNewRomanPSMT" w:cs="TimesNewRomanPSMT"/>
                <w:highlight w:val="yellow"/>
              </w:rPr>
              <w:t xml:space="preserve">If the patient vomits within 1 hour of taking </w:t>
            </w:r>
            <w:proofErr w:type="spellStart"/>
            <w:r w:rsidRPr="00960207">
              <w:rPr>
                <w:rFonts w:ascii="TimesNewRomanPSMT" w:hAnsi="TimesNewRomanPSMT" w:cs="TimesNewRomanPSMT"/>
                <w:highlight w:val="yellow"/>
              </w:rPr>
              <w:t>Viread</w:t>
            </w:r>
            <w:proofErr w:type="spellEnd"/>
            <w:r w:rsidRPr="00960207">
              <w:rPr>
                <w:rFonts w:ascii="TimesNewRomanPSMT" w:hAnsi="TimesNewRomanPSMT" w:cs="TimesNewRomanPSMT"/>
                <w:highlight w:val="yellow"/>
              </w:rPr>
              <w:t>, another tablet should be taken. If the patient</w:t>
            </w:r>
          </w:p>
          <w:p w:rsidR="004005FA" w:rsidRPr="00C56D98" w:rsidRDefault="004005FA" w:rsidP="00132C84">
            <w:pPr>
              <w:autoSpaceDE w:val="0"/>
              <w:autoSpaceDN w:val="0"/>
              <w:bidi w:val="0"/>
              <w:adjustRightInd w:val="0"/>
              <w:ind w:left="567" w:hanging="567"/>
              <w:rPr>
                <w:vertAlign w:val="superscript"/>
                <w:lang w:eastAsia="sv-SE"/>
              </w:rPr>
            </w:pPr>
            <w:proofErr w:type="gramStart"/>
            <w:r w:rsidRPr="00960207">
              <w:rPr>
                <w:rFonts w:ascii="TimesNewRomanPSMT" w:hAnsi="TimesNewRomanPSMT" w:cs="TimesNewRomanPSMT"/>
                <w:highlight w:val="yellow"/>
              </w:rPr>
              <w:t>vomits</w:t>
            </w:r>
            <w:proofErr w:type="gramEnd"/>
            <w:r w:rsidRPr="00960207">
              <w:rPr>
                <w:rFonts w:ascii="TimesNewRomanPSMT" w:hAnsi="TimesNewRomanPSMT" w:cs="TimesNewRomanPSMT"/>
                <w:highlight w:val="yellow"/>
              </w:rPr>
              <w:t xml:space="preserve"> more than 1 hour after taking </w:t>
            </w:r>
            <w:proofErr w:type="spellStart"/>
            <w:r w:rsidRPr="00960207">
              <w:rPr>
                <w:rFonts w:ascii="TimesNewRomanPSMT" w:hAnsi="TimesNewRomanPSMT" w:cs="TimesNewRomanPSMT"/>
                <w:highlight w:val="yellow"/>
              </w:rPr>
              <w:t>Viread</w:t>
            </w:r>
            <w:proofErr w:type="spellEnd"/>
            <w:r w:rsidRPr="00960207">
              <w:rPr>
                <w:rFonts w:ascii="TimesNewRomanPSMT" w:hAnsi="TimesNewRomanPSMT" w:cs="TimesNewRomanPSMT"/>
                <w:highlight w:val="yellow"/>
              </w:rPr>
              <w:t xml:space="preserve"> they do not need to take another dose.</w:t>
            </w:r>
          </w:p>
          <w:p w:rsidR="004005FA" w:rsidRPr="00C805D2" w:rsidRDefault="004005FA" w:rsidP="008A2416">
            <w:pPr>
              <w:rPr>
                <w:rFonts w:asciiTheme="majorBidi" w:hAnsiTheme="majorBidi" w:cstheme="majorBidi"/>
                <w:rtl/>
              </w:rPr>
            </w:pPr>
          </w:p>
        </w:tc>
      </w:tr>
      <w:tr w:rsidR="004005FA" w:rsidTr="00827313">
        <w:tc>
          <w:tcPr>
            <w:tcW w:w="2409" w:type="dxa"/>
          </w:tcPr>
          <w:p w:rsidR="004005FA" w:rsidRPr="00F07F53" w:rsidRDefault="004005FA" w:rsidP="008A2416">
            <w:pPr>
              <w:jc w:val="right"/>
              <w:rPr>
                <w:rFonts w:asciiTheme="majorBidi" w:hAnsiTheme="majorBidi" w:cstheme="majorBidi"/>
                <w:rtl/>
              </w:rPr>
            </w:pPr>
            <w:r>
              <w:rPr>
                <w:rFonts w:asciiTheme="majorBidi" w:hAnsiTheme="majorBidi" w:cstheme="majorBidi"/>
                <w:b/>
                <w:bCs/>
              </w:rPr>
              <w:lastRenderedPageBreak/>
              <w:t xml:space="preserve">4.2. </w:t>
            </w:r>
            <w:r w:rsidRPr="00F07F53">
              <w:rPr>
                <w:rFonts w:asciiTheme="majorBidi" w:hAnsiTheme="majorBidi" w:cstheme="majorBidi"/>
                <w:b/>
                <w:bCs/>
              </w:rPr>
              <w:t>Posology, dosage  &amp; administration</w:t>
            </w:r>
          </w:p>
        </w:tc>
        <w:tc>
          <w:tcPr>
            <w:tcW w:w="3963" w:type="dxa"/>
          </w:tcPr>
          <w:p w:rsidR="004005FA" w:rsidRPr="00F07F53" w:rsidRDefault="004005FA" w:rsidP="008A2416">
            <w:pPr>
              <w:rPr>
                <w:rFonts w:asciiTheme="majorBidi" w:hAnsiTheme="majorBidi" w:cstheme="majorBidi"/>
                <w:rtl/>
              </w:rPr>
            </w:pPr>
            <w:r>
              <w:rPr>
                <w:rFonts w:asciiTheme="majorBidi" w:hAnsiTheme="majorBidi" w:cstheme="majorBidi"/>
              </w:rPr>
              <w:t>-</w:t>
            </w:r>
          </w:p>
        </w:tc>
        <w:tc>
          <w:tcPr>
            <w:tcW w:w="3834" w:type="dxa"/>
          </w:tcPr>
          <w:p w:rsidR="004005FA" w:rsidRPr="00960207" w:rsidRDefault="004005FA" w:rsidP="008A2416">
            <w:pPr>
              <w:autoSpaceDE w:val="0"/>
              <w:autoSpaceDN w:val="0"/>
              <w:bidi w:val="0"/>
              <w:adjustRightInd w:val="0"/>
              <w:rPr>
                <w:rFonts w:ascii="TimesNewRomanPSMT" w:hAnsi="TimesNewRomanPSMT" w:cs="TimesNewRomanPSMT"/>
                <w:highlight w:val="yellow"/>
              </w:rPr>
            </w:pPr>
            <w:r w:rsidRPr="00960207">
              <w:rPr>
                <w:rFonts w:ascii="TimesNewRomanPSMT" w:hAnsi="TimesNewRomanPSMT" w:cs="TimesNewRomanPSMT"/>
                <w:highlight w:val="yellow"/>
              </w:rPr>
              <w:t>Method of administration</w:t>
            </w:r>
          </w:p>
          <w:p w:rsidR="004005FA" w:rsidRPr="00960207" w:rsidRDefault="004005FA" w:rsidP="008A2416">
            <w:pPr>
              <w:autoSpaceDE w:val="0"/>
              <w:autoSpaceDN w:val="0"/>
              <w:bidi w:val="0"/>
              <w:adjustRightInd w:val="0"/>
              <w:rPr>
                <w:rFonts w:ascii="TimesNewRomanPSMT" w:hAnsi="TimesNewRomanPSMT" w:cs="TimesNewRomanPSMT"/>
                <w:highlight w:val="yellow"/>
              </w:rPr>
            </w:pPr>
            <w:proofErr w:type="spellStart"/>
            <w:r w:rsidRPr="00960207">
              <w:rPr>
                <w:rFonts w:ascii="TimesNewRomanPSMT" w:hAnsi="TimesNewRomanPSMT" w:cs="TimesNewRomanPSMT"/>
                <w:highlight w:val="yellow"/>
              </w:rPr>
              <w:t>Viread</w:t>
            </w:r>
            <w:proofErr w:type="spellEnd"/>
            <w:r w:rsidRPr="00960207">
              <w:rPr>
                <w:rFonts w:ascii="TimesNewRomanPSMT" w:hAnsi="TimesNewRomanPSMT" w:cs="TimesNewRomanPSMT"/>
                <w:highlight w:val="yellow"/>
              </w:rPr>
              <w:t xml:space="preserve"> tablets should be taken once daily, orally with food.</w:t>
            </w:r>
          </w:p>
          <w:p w:rsidR="004005FA" w:rsidRPr="00960207" w:rsidRDefault="004005FA" w:rsidP="008A2416">
            <w:pPr>
              <w:autoSpaceDE w:val="0"/>
              <w:autoSpaceDN w:val="0"/>
              <w:bidi w:val="0"/>
              <w:adjustRightInd w:val="0"/>
              <w:rPr>
                <w:rFonts w:ascii="TimesNewRomanPSMT" w:hAnsi="TimesNewRomanPSMT" w:cs="TimesNewRomanPSMT"/>
                <w:highlight w:val="yellow"/>
              </w:rPr>
            </w:pPr>
          </w:p>
          <w:p w:rsidR="004005FA" w:rsidRPr="00D62260" w:rsidRDefault="004005FA" w:rsidP="008A2416">
            <w:pPr>
              <w:autoSpaceDE w:val="0"/>
              <w:autoSpaceDN w:val="0"/>
              <w:bidi w:val="0"/>
              <w:adjustRightInd w:val="0"/>
              <w:rPr>
                <w:rFonts w:ascii="TimesNewRomanPSMT" w:hAnsi="TimesNewRomanPSMT" w:cs="TimesNewRomanPSMT"/>
                <w:highlight w:val="yellow"/>
              </w:rPr>
            </w:pPr>
            <w:r w:rsidRPr="00D62260">
              <w:rPr>
                <w:rFonts w:ascii="TimesNewRomanPSMT" w:hAnsi="TimesNewRomanPSMT" w:cs="TimesNewRomanPSMT"/>
                <w:highlight w:val="yellow"/>
              </w:rPr>
              <w:t xml:space="preserve">In exceptional circumstances in patients having particular difficulty in swallowing, </w:t>
            </w:r>
            <w:proofErr w:type="spellStart"/>
            <w:r w:rsidRPr="00D62260">
              <w:rPr>
                <w:rFonts w:ascii="TimesNewRomanPSMT" w:hAnsi="TimesNewRomanPSMT" w:cs="TimesNewRomanPSMT"/>
                <w:highlight w:val="yellow"/>
              </w:rPr>
              <w:t>Viread</w:t>
            </w:r>
            <w:proofErr w:type="spellEnd"/>
            <w:r w:rsidRPr="00D62260">
              <w:rPr>
                <w:rFonts w:ascii="TimesNewRomanPSMT" w:hAnsi="TimesNewRomanPSMT" w:cs="TimesNewRomanPSMT"/>
                <w:highlight w:val="yellow"/>
              </w:rPr>
              <w:t xml:space="preserve"> can be</w:t>
            </w:r>
          </w:p>
          <w:p w:rsidR="004005FA" w:rsidRPr="00D62260" w:rsidRDefault="004005FA" w:rsidP="008A2416">
            <w:pPr>
              <w:autoSpaceDE w:val="0"/>
              <w:autoSpaceDN w:val="0"/>
              <w:bidi w:val="0"/>
              <w:adjustRightInd w:val="0"/>
              <w:rPr>
                <w:rFonts w:ascii="TimesNewRomanPSMT" w:hAnsi="TimesNewRomanPSMT" w:cs="TimesNewRomanPSMT"/>
                <w:highlight w:val="yellow"/>
              </w:rPr>
            </w:pPr>
            <w:r w:rsidRPr="00D62260">
              <w:rPr>
                <w:rFonts w:ascii="TimesNewRomanPSMT" w:hAnsi="TimesNewRomanPSMT" w:cs="TimesNewRomanPSMT"/>
                <w:highlight w:val="yellow"/>
              </w:rPr>
              <w:t>administered following disintegration of the tablet in at least 100 ml of water, orange juice or grape</w:t>
            </w:r>
          </w:p>
          <w:p w:rsidR="004005FA" w:rsidRPr="00C56D98" w:rsidRDefault="004005FA" w:rsidP="008A2416">
            <w:pPr>
              <w:bidi w:val="0"/>
            </w:pPr>
            <w:proofErr w:type="gramStart"/>
            <w:r w:rsidRPr="00D62260">
              <w:rPr>
                <w:rFonts w:ascii="TimesNewRomanPSMT" w:hAnsi="TimesNewRomanPSMT" w:cs="TimesNewRomanPSMT"/>
                <w:highlight w:val="yellow"/>
              </w:rPr>
              <w:t>juice</w:t>
            </w:r>
            <w:proofErr w:type="gramEnd"/>
            <w:r w:rsidRPr="00D62260">
              <w:rPr>
                <w:rFonts w:ascii="TimesNewRomanPSMT" w:hAnsi="TimesNewRomanPSMT" w:cs="TimesNewRomanPSMT"/>
                <w:highlight w:val="yellow"/>
              </w:rPr>
              <w:t>.</w:t>
            </w:r>
          </w:p>
          <w:p w:rsidR="004005FA" w:rsidRPr="00F07F53" w:rsidRDefault="004005FA" w:rsidP="008A2416">
            <w:pPr>
              <w:bidi w:val="0"/>
              <w:rPr>
                <w:rFonts w:asciiTheme="majorBidi" w:hAnsiTheme="majorBidi" w:cstheme="majorBidi"/>
                <w:sz w:val="20"/>
                <w:rtl/>
              </w:rPr>
            </w:pPr>
          </w:p>
        </w:tc>
      </w:tr>
      <w:tr w:rsidR="004005FA" w:rsidTr="00827313">
        <w:tc>
          <w:tcPr>
            <w:tcW w:w="2409" w:type="dxa"/>
          </w:tcPr>
          <w:p w:rsidR="004005FA" w:rsidRPr="00F07F53" w:rsidRDefault="004005FA" w:rsidP="008A2416">
            <w:pPr>
              <w:jc w:val="right"/>
              <w:rPr>
                <w:rFonts w:asciiTheme="majorBidi" w:hAnsiTheme="majorBidi" w:cstheme="majorBidi"/>
                <w:b/>
                <w:bCs/>
              </w:rPr>
            </w:pPr>
            <w:r>
              <w:rPr>
                <w:rFonts w:asciiTheme="majorBidi" w:hAnsiTheme="majorBidi" w:cstheme="majorBidi"/>
                <w:b/>
                <w:bCs/>
              </w:rPr>
              <w:t xml:space="preserve">4.4. </w:t>
            </w:r>
            <w:r w:rsidRPr="00991B17">
              <w:rPr>
                <w:rFonts w:asciiTheme="majorBidi" w:hAnsiTheme="majorBidi" w:cstheme="majorBidi"/>
                <w:b/>
                <w:bCs/>
              </w:rPr>
              <w:t>Special Warnings and Special Precautions for Use</w:t>
            </w:r>
          </w:p>
        </w:tc>
        <w:tc>
          <w:tcPr>
            <w:tcW w:w="3963" w:type="dxa"/>
          </w:tcPr>
          <w:p w:rsidR="004005FA" w:rsidRPr="00991B17" w:rsidRDefault="004005FA" w:rsidP="008A2416">
            <w:pPr>
              <w:jc w:val="right"/>
              <w:rPr>
                <w:rFonts w:asciiTheme="majorBidi" w:hAnsiTheme="majorBidi" w:cstheme="majorBidi"/>
              </w:rPr>
            </w:pPr>
            <w:r w:rsidRPr="00991B17">
              <w:rPr>
                <w:rFonts w:asciiTheme="majorBidi" w:hAnsiTheme="majorBidi" w:cstheme="majorBidi"/>
              </w:rPr>
              <w:t xml:space="preserve">General: </w:t>
            </w:r>
            <w:proofErr w:type="spellStart"/>
            <w:r w:rsidRPr="00991B17">
              <w:rPr>
                <w:rFonts w:asciiTheme="majorBidi" w:hAnsiTheme="majorBidi" w:cstheme="majorBidi"/>
              </w:rPr>
              <w:t>Tenofovir</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disoproxil</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fumarate</w:t>
            </w:r>
            <w:proofErr w:type="spellEnd"/>
            <w:r w:rsidRPr="00991B17">
              <w:rPr>
                <w:rFonts w:asciiTheme="majorBidi" w:hAnsiTheme="majorBidi" w:cstheme="majorBidi"/>
              </w:rPr>
              <w:t xml:space="preserve"> has not been studied in patients under the age of 12 or in patients over the age of 65.  Elderly patients are more likely to have decreased renal </w:t>
            </w:r>
            <w:proofErr w:type="gramStart"/>
            <w:r w:rsidRPr="00991B17">
              <w:rPr>
                <w:rFonts w:asciiTheme="majorBidi" w:hAnsiTheme="majorBidi" w:cstheme="majorBidi"/>
              </w:rPr>
              <w:t>function,</w:t>
            </w:r>
            <w:proofErr w:type="gramEnd"/>
            <w:r w:rsidRPr="00991B17">
              <w:rPr>
                <w:rFonts w:asciiTheme="majorBidi" w:hAnsiTheme="majorBidi" w:cstheme="majorBidi"/>
              </w:rPr>
              <w:t xml:space="preserve"> therefore caution should be exercised when treating elderly patients with </w:t>
            </w:r>
            <w:proofErr w:type="spellStart"/>
            <w:r w:rsidRPr="00991B17">
              <w:rPr>
                <w:rFonts w:asciiTheme="majorBidi" w:hAnsiTheme="majorBidi" w:cstheme="majorBidi"/>
              </w:rPr>
              <w:t>tenofovir</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disoproxil</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fumarate</w:t>
            </w:r>
            <w:proofErr w:type="spellEnd"/>
            <w:r w:rsidRPr="00991B17">
              <w:rPr>
                <w:rFonts w:asciiTheme="majorBidi" w:hAnsiTheme="majorBidi" w:cstheme="majorBidi"/>
              </w:rPr>
              <w:t xml:space="preserve"> (see below</w:t>
            </w:r>
            <w:r w:rsidRPr="00991B17">
              <w:rPr>
                <w:rFonts w:asciiTheme="majorBidi" w:hAnsiTheme="majorBidi" w:cs="Times New Roman"/>
                <w:rtl/>
              </w:rPr>
              <w:t>).</w:t>
            </w:r>
          </w:p>
          <w:p w:rsidR="004005FA" w:rsidRPr="00991B17" w:rsidRDefault="004005FA" w:rsidP="008A2416">
            <w:pPr>
              <w:jc w:val="right"/>
              <w:rPr>
                <w:rFonts w:asciiTheme="majorBidi" w:hAnsiTheme="majorBidi" w:cstheme="majorBidi"/>
              </w:rPr>
            </w:pPr>
          </w:p>
          <w:p w:rsidR="004005FA" w:rsidRPr="00991B17" w:rsidRDefault="004005FA" w:rsidP="008A2416">
            <w:pPr>
              <w:jc w:val="right"/>
              <w:rPr>
                <w:rFonts w:asciiTheme="majorBidi" w:hAnsiTheme="majorBidi" w:cstheme="majorBidi"/>
              </w:rPr>
            </w:pPr>
            <w:r w:rsidRPr="00991B17">
              <w:rPr>
                <w:rFonts w:asciiTheme="majorBidi" w:hAnsiTheme="majorBidi" w:cstheme="majorBidi"/>
              </w:rPr>
              <w:t xml:space="preserve">HIV antibody testing should be offered to all HBV infected patients before initiating </w:t>
            </w:r>
            <w:proofErr w:type="spellStart"/>
            <w:r w:rsidRPr="00991B17">
              <w:rPr>
                <w:rFonts w:asciiTheme="majorBidi" w:hAnsiTheme="majorBidi" w:cstheme="majorBidi"/>
              </w:rPr>
              <w:t>tenofovir</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disoproxil</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fumarate</w:t>
            </w:r>
            <w:proofErr w:type="spellEnd"/>
            <w:r w:rsidRPr="00991B17">
              <w:rPr>
                <w:rFonts w:asciiTheme="majorBidi" w:hAnsiTheme="majorBidi" w:cstheme="majorBidi"/>
              </w:rPr>
              <w:t xml:space="preserve"> therapy (see below Co infection with HIV 1 and hepatitis B</w:t>
            </w:r>
            <w:r w:rsidRPr="00991B17">
              <w:rPr>
                <w:rFonts w:asciiTheme="majorBidi" w:hAnsiTheme="majorBidi" w:cs="Times New Roman"/>
                <w:rtl/>
              </w:rPr>
              <w:t xml:space="preserve">). </w:t>
            </w:r>
          </w:p>
          <w:p w:rsidR="004005FA" w:rsidRPr="00991B17" w:rsidRDefault="004005FA" w:rsidP="008A2416">
            <w:pPr>
              <w:jc w:val="right"/>
              <w:rPr>
                <w:rFonts w:asciiTheme="majorBidi" w:hAnsiTheme="majorBidi" w:cstheme="majorBidi"/>
              </w:rPr>
            </w:pPr>
          </w:p>
          <w:p w:rsidR="004005FA" w:rsidRPr="00991B17" w:rsidRDefault="004005FA" w:rsidP="008A2416">
            <w:pPr>
              <w:jc w:val="right"/>
              <w:rPr>
                <w:rFonts w:asciiTheme="majorBidi" w:hAnsiTheme="majorBidi" w:cstheme="majorBidi"/>
              </w:rPr>
            </w:pPr>
            <w:r w:rsidRPr="00991B17">
              <w:rPr>
                <w:rFonts w:asciiTheme="majorBidi" w:hAnsiTheme="majorBidi" w:cstheme="majorBidi"/>
              </w:rPr>
              <w:lastRenderedPageBreak/>
              <w:t xml:space="preserve">Patients must be advised that </w:t>
            </w:r>
            <w:proofErr w:type="spellStart"/>
            <w:r w:rsidRPr="00991B17">
              <w:rPr>
                <w:rFonts w:asciiTheme="majorBidi" w:hAnsiTheme="majorBidi" w:cstheme="majorBidi"/>
              </w:rPr>
              <w:t>tenofovir</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disoproxil</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fumarate</w:t>
            </w:r>
            <w:proofErr w:type="spellEnd"/>
            <w:r w:rsidRPr="00991B17">
              <w:rPr>
                <w:rFonts w:asciiTheme="majorBidi" w:hAnsiTheme="majorBidi" w:cstheme="majorBidi"/>
              </w:rPr>
              <w:t xml:space="preserve"> has not been proven to prevent the risk of transmission of HIV or HBV to others through sexual contact </w:t>
            </w:r>
            <w:proofErr w:type="gramStart"/>
            <w:r w:rsidRPr="00991B17">
              <w:rPr>
                <w:rFonts w:asciiTheme="majorBidi" w:hAnsiTheme="majorBidi" w:cstheme="majorBidi"/>
              </w:rPr>
              <w:t>or  contamination</w:t>
            </w:r>
            <w:proofErr w:type="gramEnd"/>
            <w:r w:rsidRPr="00991B17">
              <w:rPr>
                <w:rFonts w:asciiTheme="majorBidi" w:hAnsiTheme="majorBidi" w:cstheme="majorBidi"/>
              </w:rPr>
              <w:t xml:space="preserve"> with blood.  Appropriate precautions must continue to be used</w:t>
            </w:r>
            <w:r w:rsidRPr="00991B17">
              <w:rPr>
                <w:rFonts w:asciiTheme="majorBidi" w:hAnsiTheme="majorBidi" w:cs="Times New Roman"/>
                <w:rtl/>
              </w:rPr>
              <w:t>.</w:t>
            </w:r>
          </w:p>
          <w:p w:rsidR="004005FA" w:rsidRPr="00991B17" w:rsidRDefault="004005FA" w:rsidP="008A2416">
            <w:pPr>
              <w:jc w:val="right"/>
              <w:rPr>
                <w:rFonts w:asciiTheme="majorBidi" w:hAnsiTheme="majorBidi" w:cstheme="majorBidi"/>
              </w:rPr>
            </w:pPr>
          </w:p>
          <w:p w:rsidR="004005FA" w:rsidRPr="00F07F53" w:rsidRDefault="004005FA" w:rsidP="008A2416">
            <w:pPr>
              <w:jc w:val="right"/>
              <w:rPr>
                <w:rFonts w:asciiTheme="majorBidi" w:hAnsiTheme="majorBidi" w:cstheme="majorBidi"/>
              </w:rPr>
            </w:pPr>
            <w:proofErr w:type="spellStart"/>
            <w:r w:rsidRPr="00991B17">
              <w:rPr>
                <w:rFonts w:asciiTheme="majorBidi" w:hAnsiTheme="majorBidi" w:cstheme="majorBidi"/>
              </w:rPr>
              <w:t>Viread</w:t>
            </w:r>
            <w:proofErr w:type="spellEnd"/>
            <w:r w:rsidRPr="00991B17">
              <w:rPr>
                <w:rFonts w:asciiTheme="majorBidi" w:hAnsiTheme="majorBidi" w:cstheme="majorBidi"/>
              </w:rPr>
              <w:t xml:space="preserve"> contains lactose monohydrate.  Consequently, patients with rare hereditary problems of </w:t>
            </w:r>
            <w:proofErr w:type="spellStart"/>
            <w:r w:rsidRPr="00991B17">
              <w:rPr>
                <w:rFonts w:asciiTheme="majorBidi" w:hAnsiTheme="majorBidi" w:cstheme="majorBidi"/>
              </w:rPr>
              <w:t>galactose</w:t>
            </w:r>
            <w:proofErr w:type="spellEnd"/>
            <w:r w:rsidRPr="00991B17">
              <w:rPr>
                <w:rFonts w:asciiTheme="majorBidi" w:hAnsiTheme="majorBidi" w:cstheme="majorBidi"/>
              </w:rPr>
              <w:t xml:space="preserve"> intolerance, the Lapp lactase deficiency, or glucose </w:t>
            </w:r>
            <w:proofErr w:type="spellStart"/>
            <w:r w:rsidRPr="00991B17">
              <w:rPr>
                <w:rFonts w:asciiTheme="majorBidi" w:hAnsiTheme="majorBidi" w:cstheme="majorBidi"/>
              </w:rPr>
              <w:t>galactose</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malabsorption</w:t>
            </w:r>
            <w:proofErr w:type="spellEnd"/>
            <w:r w:rsidRPr="00991B17">
              <w:rPr>
                <w:rFonts w:asciiTheme="majorBidi" w:hAnsiTheme="majorBidi" w:cstheme="majorBidi"/>
              </w:rPr>
              <w:t xml:space="preserve"> should not take this medicinal product</w:t>
            </w:r>
            <w:r w:rsidRPr="00991B17">
              <w:rPr>
                <w:rFonts w:asciiTheme="majorBidi" w:hAnsiTheme="majorBidi" w:cs="Times New Roman"/>
                <w:rtl/>
              </w:rPr>
              <w:t>.</w:t>
            </w:r>
          </w:p>
        </w:tc>
        <w:tc>
          <w:tcPr>
            <w:tcW w:w="3834" w:type="dxa"/>
          </w:tcPr>
          <w:p w:rsidR="004005FA" w:rsidRPr="00991B17" w:rsidRDefault="004005FA" w:rsidP="008A2416">
            <w:pPr>
              <w:jc w:val="right"/>
              <w:rPr>
                <w:rFonts w:asciiTheme="majorBidi" w:hAnsiTheme="majorBidi" w:cstheme="majorBidi"/>
                <w:strike/>
                <w:rtl/>
              </w:rPr>
            </w:pPr>
            <w:r w:rsidRPr="00991B17">
              <w:rPr>
                <w:rFonts w:asciiTheme="majorBidi" w:hAnsiTheme="majorBidi" w:cstheme="majorBidi"/>
                <w:i/>
              </w:rPr>
              <w:lastRenderedPageBreak/>
              <w:t>General</w:t>
            </w:r>
            <w:r w:rsidRPr="00991B17">
              <w:rPr>
                <w:rFonts w:asciiTheme="majorBidi" w:hAnsiTheme="majorBidi" w:cstheme="majorBidi"/>
              </w:rPr>
              <w:t xml:space="preserve">: </w:t>
            </w:r>
            <w:proofErr w:type="spellStart"/>
            <w:r w:rsidRPr="00991B17">
              <w:rPr>
                <w:rFonts w:asciiTheme="majorBidi" w:hAnsiTheme="majorBidi" w:cstheme="majorBidi"/>
                <w:strike/>
                <w:highlight w:val="green"/>
              </w:rPr>
              <w:t>Tenofovir</w:t>
            </w:r>
            <w:proofErr w:type="spellEnd"/>
            <w:r w:rsidRPr="00991B17">
              <w:rPr>
                <w:rFonts w:asciiTheme="majorBidi" w:hAnsiTheme="majorBidi" w:cstheme="majorBidi"/>
                <w:strike/>
                <w:highlight w:val="green"/>
              </w:rPr>
              <w:t xml:space="preserve"> </w:t>
            </w:r>
            <w:proofErr w:type="spellStart"/>
            <w:r w:rsidRPr="00991B17">
              <w:rPr>
                <w:rFonts w:asciiTheme="majorBidi" w:hAnsiTheme="majorBidi" w:cstheme="majorBidi"/>
                <w:strike/>
                <w:highlight w:val="green"/>
              </w:rPr>
              <w:t>disoproxil</w:t>
            </w:r>
            <w:proofErr w:type="spellEnd"/>
            <w:r w:rsidRPr="00991B17">
              <w:rPr>
                <w:rFonts w:asciiTheme="majorBidi" w:hAnsiTheme="majorBidi" w:cstheme="majorBidi"/>
                <w:strike/>
                <w:highlight w:val="green"/>
              </w:rPr>
              <w:t xml:space="preserve"> </w:t>
            </w:r>
            <w:proofErr w:type="spellStart"/>
            <w:r w:rsidRPr="00991B17">
              <w:rPr>
                <w:rFonts w:asciiTheme="majorBidi" w:hAnsiTheme="majorBidi" w:cstheme="majorBidi"/>
                <w:strike/>
                <w:highlight w:val="green"/>
              </w:rPr>
              <w:t>fumarate</w:t>
            </w:r>
            <w:proofErr w:type="spellEnd"/>
            <w:r w:rsidRPr="00991B17">
              <w:rPr>
                <w:rFonts w:asciiTheme="majorBidi" w:hAnsiTheme="majorBidi" w:cstheme="majorBidi"/>
                <w:strike/>
                <w:highlight w:val="green"/>
              </w:rPr>
              <w:t xml:space="preserve"> has not been studied in patients under the age of 12 or in patients over the age of 65.  Elderly patients are more likely to have decreased renal </w:t>
            </w:r>
            <w:proofErr w:type="gramStart"/>
            <w:r w:rsidRPr="00991B17">
              <w:rPr>
                <w:rFonts w:asciiTheme="majorBidi" w:hAnsiTheme="majorBidi" w:cstheme="majorBidi"/>
                <w:strike/>
                <w:highlight w:val="green"/>
              </w:rPr>
              <w:t>function,</w:t>
            </w:r>
            <w:proofErr w:type="gramEnd"/>
            <w:r w:rsidRPr="00991B17">
              <w:rPr>
                <w:rFonts w:asciiTheme="majorBidi" w:hAnsiTheme="majorBidi" w:cstheme="majorBidi"/>
                <w:strike/>
                <w:highlight w:val="green"/>
              </w:rPr>
              <w:t xml:space="preserve"> therefore caution should be exercised when treating elderly patients with </w:t>
            </w:r>
            <w:proofErr w:type="spellStart"/>
            <w:r w:rsidRPr="00991B17">
              <w:rPr>
                <w:rFonts w:asciiTheme="majorBidi" w:hAnsiTheme="majorBidi" w:cstheme="majorBidi"/>
                <w:strike/>
                <w:highlight w:val="green"/>
              </w:rPr>
              <w:t>tenofovir</w:t>
            </w:r>
            <w:proofErr w:type="spellEnd"/>
            <w:r w:rsidRPr="00991B17">
              <w:rPr>
                <w:rFonts w:asciiTheme="majorBidi" w:hAnsiTheme="majorBidi" w:cstheme="majorBidi"/>
                <w:strike/>
                <w:highlight w:val="green"/>
              </w:rPr>
              <w:t xml:space="preserve"> </w:t>
            </w:r>
            <w:proofErr w:type="spellStart"/>
            <w:r w:rsidRPr="00991B17">
              <w:rPr>
                <w:rFonts w:asciiTheme="majorBidi" w:hAnsiTheme="majorBidi" w:cstheme="majorBidi"/>
                <w:strike/>
                <w:highlight w:val="green"/>
              </w:rPr>
              <w:t>disoproxil</w:t>
            </w:r>
            <w:proofErr w:type="spellEnd"/>
            <w:r w:rsidRPr="00991B17">
              <w:rPr>
                <w:rFonts w:asciiTheme="majorBidi" w:hAnsiTheme="majorBidi" w:cstheme="majorBidi"/>
                <w:strike/>
                <w:highlight w:val="green"/>
              </w:rPr>
              <w:t xml:space="preserve"> </w:t>
            </w:r>
            <w:proofErr w:type="spellStart"/>
            <w:r w:rsidRPr="00991B17">
              <w:rPr>
                <w:rFonts w:asciiTheme="majorBidi" w:hAnsiTheme="majorBidi" w:cstheme="majorBidi"/>
                <w:strike/>
                <w:highlight w:val="green"/>
              </w:rPr>
              <w:t>fumarate</w:t>
            </w:r>
            <w:proofErr w:type="spellEnd"/>
            <w:r w:rsidRPr="00991B17">
              <w:rPr>
                <w:rFonts w:asciiTheme="majorBidi" w:hAnsiTheme="majorBidi" w:cstheme="majorBidi"/>
                <w:strike/>
                <w:highlight w:val="green"/>
              </w:rPr>
              <w:t xml:space="preserve"> (see below).</w:t>
            </w:r>
          </w:p>
          <w:p w:rsidR="004005FA" w:rsidRPr="00991B17" w:rsidRDefault="004005FA" w:rsidP="008A2416">
            <w:pPr>
              <w:jc w:val="right"/>
              <w:rPr>
                <w:rFonts w:asciiTheme="majorBidi" w:hAnsiTheme="majorBidi" w:cstheme="majorBidi"/>
              </w:rPr>
            </w:pPr>
          </w:p>
          <w:p w:rsidR="004005FA" w:rsidRPr="00991B17" w:rsidRDefault="004005FA" w:rsidP="008A2416">
            <w:pPr>
              <w:jc w:val="right"/>
              <w:rPr>
                <w:rFonts w:asciiTheme="majorBidi" w:hAnsiTheme="majorBidi" w:cstheme="majorBidi"/>
                <w:vertAlign w:val="superscript"/>
              </w:rPr>
            </w:pPr>
            <w:r w:rsidRPr="00991B17">
              <w:rPr>
                <w:rFonts w:asciiTheme="majorBidi" w:hAnsiTheme="majorBidi" w:cstheme="majorBidi"/>
              </w:rPr>
              <w:t xml:space="preserve">HIV antibody testing should be offered to all HBV infected patients before initiating </w:t>
            </w:r>
            <w:proofErr w:type="spellStart"/>
            <w:r w:rsidRPr="00991B17">
              <w:rPr>
                <w:rFonts w:asciiTheme="majorBidi" w:hAnsiTheme="majorBidi" w:cstheme="majorBidi"/>
              </w:rPr>
              <w:t>tenofovir</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disoproxil</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fumarate</w:t>
            </w:r>
            <w:proofErr w:type="spellEnd"/>
            <w:r w:rsidRPr="00991B17">
              <w:rPr>
                <w:rFonts w:asciiTheme="majorBidi" w:hAnsiTheme="majorBidi" w:cstheme="majorBidi"/>
              </w:rPr>
              <w:t xml:space="preserve"> therapy (see below </w:t>
            </w:r>
            <w:r w:rsidRPr="00991B17">
              <w:rPr>
                <w:rFonts w:asciiTheme="majorBidi" w:hAnsiTheme="majorBidi" w:cstheme="majorBidi"/>
                <w:i/>
              </w:rPr>
              <w:t>Co</w:t>
            </w:r>
            <w:r w:rsidRPr="00991B17">
              <w:rPr>
                <w:rFonts w:asciiTheme="majorBidi" w:hAnsiTheme="majorBidi" w:cstheme="majorBidi"/>
                <w:i/>
              </w:rPr>
              <w:noBreakHyphen/>
              <w:t>infection with HIV</w:t>
            </w:r>
            <w:r w:rsidRPr="00991B17">
              <w:rPr>
                <w:rFonts w:asciiTheme="majorBidi" w:hAnsiTheme="majorBidi" w:cstheme="majorBidi"/>
                <w:i/>
              </w:rPr>
              <w:noBreakHyphen/>
              <w:t>1 and hepatitis B</w:t>
            </w:r>
            <w:r w:rsidRPr="00991B17">
              <w:rPr>
                <w:rFonts w:asciiTheme="majorBidi" w:hAnsiTheme="majorBidi" w:cstheme="majorBidi"/>
              </w:rPr>
              <w:t xml:space="preserve">). </w:t>
            </w:r>
          </w:p>
          <w:p w:rsidR="004005FA" w:rsidRPr="00991B17" w:rsidRDefault="004005FA" w:rsidP="008A2416">
            <w:pPr>
              <w:jc w:val="right"/>
              <w:rPr>
                <w:rFonts w:asciiTheme="majorBidi" w:hAnsiTheme="majorBidi" w:cstheme="majorBidi"/>
              </w:rPr>
            </w:pPr>
          </w:p>
          <w:p w:rsidR="004005FA" w:rsidRPr="00991B17" w:rsidRDefault="004005FA" w:rsidP="008A2416">
            <w:pPr>
              <w:jc w:val="right"/>
              <w:rPr>
                <w:rFonts w:asciiTheme="majorBidi" w:hAnsiTheme="majorBidi" w:cstheme="majorBidi"/>
              </w:rPr>
            </w:pPr>
            <w:r w:rsidRPr="00991B17">
              <w:rPr>
                <w:rFonts w:asciiTheme="majorBidi" w:hAnsiTheme="majorBidi" w:cstheme="majorBidi"/>
              </w:rPr>
              <w:t xml:space="preserve">Patients must be advised that </w:t>
            </w:r>
            <w:proofErr w:type="spellStart"/>
            <w:r w:rsidRPr="00991B17">
              <w:rPr>
                <w:rFonts w:asciiTheme="majorBidi" w:hAnsiTheme="majorBidi" w:cstheme="majorBidi"/>
              </w:rPr>
              <w:t>tenofovir</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disoproxil</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fumarate</w:t>
            </w:r>
            <w:proofErr w:type="spellEnd"/>
            <w:r w:rsidRPr="00991B17">
              <w:rPr>
                <w:rFonts w:asciiTheme="majorBidi" w:hAnsiTheme="majorBidi" w:cstheme="majorBidi"/>
              </w:rPr>
              <w:t xml:space="preserve"> has not been proven to prevent the risk of transmission of HIV or HBV to others through sexual contact </w:t>
            </w:r>
            <w:proofErr w:type="gramStart"/>
            <w:r w:rsidRPr="00991B17">
              <w:rPr>
                <w:rFonts w:asciiTheme="majorBidi" w:hAnsiTheme="majorBidi" w:cstheme="majorBidi"/>
              </w:rPr>
              <w:t xml:space="preserve">or </w:t>
            </w:r>
            <w:r w:rsidRPr="00991B17">
              <w:rPr>
                <w:rFonts w:asciiTheme="majorBidi" w:hAnsiTheme="majorBidi" w:cstheme="majorBidi"/>
                <w:strike/>
              </w:rPr>
              <w:t xml:space="preserve"> </w:t>
            </w:r>
            <w:r w:rsidRPr="00991B17">
              <w:rPr>
                <w:rFonts w:asciiTheme="majorBidi" w:hAnsiTheme="majorBidi" w:cstheme="majorBidi"/>
              </w:rPr>
              <w:t>contamination</w:t>
            </w:r>
            <w:proofErr w:type="gramEnd"/>
            <w:r w:rsidRPr="00991B17">
              <w:rPr>
                <w:rFonts w:asciiTheme="majorBidi" w:hAnsiTheme="majorBidi" w:cstheme="majorBidi"/>
              </w:rPr>
              <w:t xml:space="preserve"> with blood.  Appropriate precautions must continue to be used.</w:t>
            </w:r>
          </w:p>
          <w:p w:rsidR="004005FA" w:rsidRPr="00991B17" w:rsidRDefault="004005FA" w:rsidP="008A2416">
            <w:pPr>
              <w:jc w:val="right"/>
              <w:rPr>
                <w:rFonts w:asciiTheme="majorBidi" w:hAnsiTheme="majorBidi" w:cstheme="majorBidi"/>
              </w:rPr>
            </w:pPr>
          </w:p>
          <w:p w:rsidR="004005FA" w:rsidRPr="00991B17" w:rsidRDefault="004005FA" w:rsidP="008A2416">
            <w:pPr>
              <w:jc w:val="right"/>
              <w:rPr>
                <w:rFonts w:asciiTheme="majorBidi" w:hAnsiTheme="majorBidi" w:cstheme="majorBidi"/>
                <w:strike/>
                <w:vertAlign w:val="superscript"/>
              </w:rPr>
            </w:pPr>
            <w:proofErr w:type="spellStart"/>
            <w:r w:rsidRPr="00991B17">
              <w:rPr>
                <w:rFonts w:asciiTheme="majorBidi" w:hAnsiTheme="majorBidi" w:cstheme="majorBidi"/>
                <w:strike/>
                <w:highlight w:val="green"/>
              </w:rPr>
              <w:t>Viread</w:t>
            </w:r>
            <w:proofErr w:type="spellEnd"/>
            <w:r w:rsidRPr="00991B17">
              <w:rPr>
                <w:rFonts w:asciiTheme="majorBidi" w:hAnsiTheme="majorBidi" w:cstheme="majorBidi"/>
                <w:strike/>
                <w:highlight w:val="green"/>
              </w:rPr>
              <w:t xml:space="preserve"> contains lactose monohydrate.  Consequently, patients with rare hereditary problems of </w:t>
            </w:r>
            <w:proofErr w:type="spellStart"/>
            <w:r w:rsidRPr="00991B17">
              <w:rPr>
                <w:rFonts w:asciiTheme="majorBidi" w:hAnsiTheme="majorBidi" w:cstheme="majorBidi"/>
                <w:strike/>
                <w:highlight w:val="green"/>
              </w:rPr>
              <w:t>galactose</w:t>
            </w:r>
            <w:proofErr w:type="spellEnd"/>
            <w:r w:rsidRPr="00991B17">
              <w:rPr>
                <w:rFonts w:asciiTheme="majorBidi" w:hAnsiTheme="majorBidi" w:cstheme="majorBidi"/>
                <w:strike/>
                <w:highlight w:val="green"/>
              </w:rPr>
              <w:t xml:space="preserve"> intolerance, the Lapp lactase deficiency, or glucose</w:t>
            </w:r>
            <w:r w:rsidRPr="00991B17">
              <w:rPr>
                <w:rFonts w:asciiTheme="majorBidi" w:hAnsiTheme="majorBidi" w:cstheme="majorBidi"/>
                <w:strike/>
                <w:highlight w:val="green"/>
              </w:rPr>
              <w:noBreakHyphen/>
            </w:r>
            <w:proofErr w:type="spellStart"/>
            <w:r w:rsidRPr="00991B17">
              <w:rPr>
                <w:rFonts w:asciiTheme="majorBidi" w:hAnsiTheme="majorBidi" w:cstheme="majorBidi"/>
                <w:strike/>
                <w:highlight w:val="green"/>
              </w:rPr>
              <w:t>galactose</w:t>
            </w:r>
            <w:proofErr w:type="spellEnd"/>
            <w:r w:rsidRPr="00991B17">
              <w:rPr>
                <w:rFonts w:asciiTheme="majorBidi" w:hAnsiTheme="majorBidi" w:cstheme="majorBidi"/>
                <w:strike/>
                <w:highlight w:val="green"/>
              </w:rPr>
              <w:t xml:space="preserve"> </w:t>
            </w:r>
            <w:proofErr w:type="spellStart"/>
            <w:r w:rsidRPr="00991B17">
              <w:rPr>
                <w:rFonts w:asciiTheme="majorBidi" w:hAnsiTheme="majorBidi" w:cstheme="majorBidi"/>
                <w:strike/>
                <w:highlight w:val="green"/>
              </w:rPr>
              <w:t>malabsorption</w:t>
            </w:r>
            <w:proofErr w:type="spellEnd"/>
            <w:r w:rsidRPr="00991B17">
              <w:rPr>
                <w:rFonts w:asciiTheme="majorBidi" w:hAnsiTheme="majorBidi" w:cstheme="majorBidi"/>
                <w:strike/>
                <w:highlight w:val="green"/>
              </w:rPr>
              <w:t xml:space="preserve"> should not take this medicinal product.</w:t>
            </w:r>
            <w:r w:rsidRPr="00991B17">
              <w:rPr>
                <w:rFonts w:asciiTheme="majorBidi" w:hAnsiTheme="majorBidi" w:cstheme="majorBidi"/>
                <w:strike/>
                <w:vertAlign w:val="superscript"/>
              </w:rPr>
              <w:t xml:space="preserve"> </w:t>
            </w:r>
          </w:p>
          <w:p w:rsidR="004005FA" w:rsidRPr="00991B17" w:rsidRDefault="004005FA" w:rsidP="008A2416">
            <w:pPr>
              <w:autoSpaceDE w:val="0"/>
              <w:autoSpaceDN w:val="0"/>
              <w:adjustRightInd w:val="0"/>
              <w:jc w:val="right"/>
              <w:rPr>
                <w:rFonts w:asciiTheme="majorBidi" w:hAnsiTheme="majorBidi" w:cstheme="majorBidi"/>
              </w:rPr>
            </w:pPr>
          </w:p>
        </w:tc>
      </w:tr>
      <w:tr w:rsidR="004005FA" w:rsidTr="00827313">
        <w:tc>
          <w:tcPr>
            <w:tcW w:w="2409" w:type="dxa"/>
          </w:tcPr>
          <w:p w:rsidR="004005FA" w:rsidRPr="00F07F53" w:rsidRDefault="004005FA" w:rsidP="008A2416">
            <w:pPr>
              <w:jc w:val="right"/>
              <w:rPr>
                <w:rFonts w:asciiTheme="majorBidi" w:hAnsiTheme="majorBidi" w:cstheme="majorBidi"/>
                <w:rtl/>
              </w:rPr>
            </w:pPr>
            <w:r>
              <w:rPr>
                <w:rFonts w:asciiTheme="majorBidi" w:hAnsiTheme="majorBidi" w:cstheme="majorBidi"/>
                <w:b/>
                <w:bCs/>
              </w:rPr>
              <w:lastRenderedPageBreak/>
              <w:t xml:space="preserve">4.4. </w:t>
            </w:r>
            <w:r w:rsidRPr="00F07F53">
              <w:rPr>
                <w:rFonts w:asciiTheme="majorBidi" w:hAnsiTheme="majorBidi" w:cstheme="majorBidi"/>
                <w:b/>
                <w:bCs/>
              </w:rPr>
              <w:t>Special Warnings and Special Precautions for Use</w:t>
            </w:r>
          </w:p>
        </w:tc>
        <w:tc>
          <w:tcPr>
            <w:tcW w:w="3963" w:type="dxa"/>
          </w:tcPr>
          <w:p w:rsidR="00BC46EA" w:rsidRPr="00BC46EA" w:rsidRDefault="00BC46EA" w:rsidP="00827313">
            <w:pPr>
              <w:jc w:val="right"/>
              <w:rPr>
                <w:rFonts w:asciiTheme="majorBidi" w:hAnsiTheme="majorBidi" w:cstheme="majorBidi"/>
                <w:vertAlign w:val="superscript"/>
              </w:rPr>
            </w:pPr>
            <w:r w:rsidRPr="00BC46EA">
              <w:rPr>
                <w:rFonts w:asciiTheme="majorBidi" w:hAnsiTheme="majorBidi" w:cstheme="majorBidi"/>
                <w:i/>
              </w:rPr>
              <w:t xml:space="preserve">Patients with </w:t>
            </w:r>
            <w:proofErr w:type="spellStart"/>
            <w:r w:rsidRPr="00BC46EA">
              <w:rPr>
                <w:rFonts w:asciiTheme="majorBidi" w:hAnsiTheme="majorBidi" w:cstheme="majorBidi"/>
                <w:i/>
              </w:rPr>
              <w:t>creatinine</w:t>
            </w:r>
            <w:proofErr w:type="spellEnd"/>
            <w:r w:rsidRPr="00BC46EA">
              <w:rPr>
                <w:rFonts w:asciiTheme="majorBidi" w:hAnsiTheme="majorBidi" w:cstheme="majorBidi"/>
                <w:i/>
              </w:rPr>
              <w:t xml:space="preserve"> clearance &lt; 50 ml/min, including </w:t>
            </w:r>
            <w:proofErr w:type="spellStart"/>
            <w:r w:rsidRPr="00BC46EA">
              <w:rPr>
                <w:rFonts w:asciiTheme="majorBidi" w:hAnsiTheme="majorBidi" w:cstheme="majorBidi"/>
                <w:i/>
              </w:rPr>
              <w:t>haemodialysis</w:t>
            </w:r>
            <w:proofErr w:type="spellEnd"/>
            <w:r w:rsidRPr="00BC46EA">
              <w:rPr>
                <w:rFonts w:asciiTheme="majorBidi" w:hAnsiTheme="majorBidi" w:cstheme="majorBidi"/>
                <w:i/>
              </w:rPr>
              <w:t xml:space="preserve"> patients: </w:t>
            </w:r>
            <w:r w:rsidRPr="00BC46EA">
              <w:rPr>
                <w:rFonts w:asciiTheme="majorBidi" w:hAnsiTheme="majorBidi" w:cstheme="majorBidi"/>
              </w:rPr>
              <w:t xml:space="preserve">There are limited data on the safety and efficacy of </w:t>
            </w:r>
            <w:proofErr w:type="spellStart"/>
            <w:r w:rsidRPr="00BC46EA">
              <w:rPr>
                <w:rFonts w:asciiTheme="majorBidi" w:hAnsiTheme="majorBidi" w:cstheme="majorBidi"/>
              </w:rPr>
              <w:t>tenofovir</w:t>
            </w:r>
            <w:proofErr w:type="spellEnd"/>
            <w:r w:rsidRPr="00BC46EA">
              <w:rPr>
                <w:rFonts w:asciiTheme="majorBidi" w:hAnsiTheme="majorBidi" w:cstheme="majorBidi"/>
              </w:rPr>
              <w:t xml:space="preserve"> </w:t>
            </w:r>
            <w:proofErr w:type="spellStart"/>
            <w:r w:rsidRPr="00BC46EA">
              <w:rPr>
                <w:rFonts w:asciiTheme="majorBidi" w:hAnsiTheme="majorBidi" w:cstheme="majorBidi"/>
              </w:rPr>
              <w:t>disoproxil</w:t>
            </w:r>
            <w:proofErr w:type="spellEnd"/>
            <w:r w:rsidRPr="00BC46EA">
              <w:rPr>
                <w:rFonts w:asciiTheme="majorBidi" w:hAnsiTheme="majorBidi" w:cstheme="majorBidi"/>
              </w:rPr>
              <w:t xml:space="preserve"> </w:t>
            </w:r>
            <w:proofErr w:type="spellStart"/>
            <w:r w:rsidRPr="00BC46EA">
              <w:rPr>
                <w:rFonts w:asciiTheme="majorBidi" w:hAnsiTheme="majorBidi" w:cstheme="majorBidi"/>
              </w:rPr>
              <w:t>fumarate</w:t>
            </w:r>
            <w:proofErr w:type="spellEnd"/>
            <w:r w:rsidRPr="00BC46EA">
              <w:rPr>
                <w:rFonts w:asciiTheme="majorBidi" w:hAnsiTheme="majorBidi" w:cstheme="majorBidi"/>
              </w:rPr>
              <w:t xml:space="preserve"> in patients with impaired renal function.  Therefore, </w:t>
            </w:r>
            <w:proofErr w:type="spellStart"/>
            <w:r w:rsidRPr="00BC46EA">
              <w:rPr>
                <w:rFonts w:asciiTheme="majorBidi" w:hAnsiTheme="majorBidi" w:cstheme="majorBidi"/>
              </w:rPr>
              <w:t>tenofovir</w:t>
            </w:r>
            <w:proofErr w:type="spellEnd"/>
            <w:r w:rsidRPr="00BC46EA">
              <w:rPr>
                <w:rFonts w:asciiTheme="majorBidi" w:hAnsiTheme="majorBidi" w:cstheme="majorBidi"/>
              </w:rPr>
              <w:t xml:space="preserve"> </w:t>
            </w:r>
            <w:proofErr w:type="spellStart"/>
            <w:r w:rsidRPr="00BC46EA">
              <w:rPr>
                <w:rFonts w:asciiTheme="majorBidi" w:hAnsiTheme="majorBidi" w:cstheme="majorBidi"/>
              </w:rPr>
              <w:t>disoproxil</w:t>
            </w:r>
            <w:proofErr w:type="spellEnd"/>
            <w:r w:rsidRPr="00BC46EA">
              <w:rPr>
                <w:rFonts w:asciiTheme="majorBidi" w:hAnsiTheme="majorBidi" w:cstheme="majorBidi"/>
              </w:rPr>
              <w:t xml:space="preserve"> </w:t>
            </w:r>
            <w:proofErr w:type="spellStart"/>
            <w:r w:rsidRPr="00BC46EA">
              <w:rPr>
                <w:rFonts w:asciiTheme="majorBidi" w:hAnsiTheme="majorBidi" w:cstheme="majorBidi"/>
              </w:rPr>
              <w:t>fumarate</w:t>
            </w:r>
            <w:proofErr w:type="spellEnd"/>
            <w:r w:rsidRPr="00BC46EA">
              <w:rPr>
                <w:rFonts w:asciiTheme="majorBidi" w:hAnsiTheme="majorBidi" w:cstheme="majorBidi"/>
              </w:rPr>
              <w:t xml:space="preserve"> should only be used if the potential benefits of treatment are considered to outweigh the potential risks.  In patients with severe renal impairment (</w:t>
            </w:r>
            <w:proofErr w:type="spellStart"/>
            <w:r w:rsidRPr="00BC46EA">
              <w:rPr>
                <w:rFonts w:asciiTheme="majorBidi" w:hAnsiTheme="majorBidi" w:cstheme="majorBidi"/>
              </w:rPr>
              <w:t>creatinine</w:t>
            </w:r>
            <w:proofErr w:type="spellEnd"/>
            <w:r w:rsidRPr="00BC46EA">
              <w:rPr>
                <w:rFonts w:asciiTheme="majorBidi" w:hAnsiTheme="majorBidi" w:cstheme="majorBidi"/>
              </w:rPr>
              <w:t xml:space="preserve"> clearance &lt; 30 ml/min</w:t>
            </w:r>
            <w:r w:rsidR="00827313">
              <w:rPr>
                <w:rFonts w:asciiTheme="majorBidi" w:hAnsiTheme="majorBidi" w:cstheme="majorBidi"/>
              </w:rPr>
              <w:t xml:space="preserve">) </w:t>
            </w:r>
            <w:r w:rsidRPr="00BC46EA">
              <w:rPr>
                <w:rFonts w:asciiTheme="majorBidi" w:hAnsiTheme="majorBidi" w:cstheme="majorBidi"/>
              </w:rPr>
              <w:t xml:space="preserve">use of </w:t>
            </w:r>
            <w:proofErr w:type="spellStart"/>
            <w:r w:rsidRPr="00BC46EA">
              <w:rPr>
                <w:rFonts w:asciiTheme="majorBidi" w:hAnsiTheme="majorBidi" w:cstheme="majorBidi"/>
              </w:rPr>
              <w:t>tenofovir</w:t>
            </w:r>
            <w:proofErr w:type="spellEnd"/>
            <w:r w:rsidRPr="00BC46EA">
              <w:rPr>
                <w:rFonts w:asciiTheme="majorBidi" w:hAnsiTheme="majorBidi" w:cstheme="majorBidi"/>
              </w:rPr>
              <w:t xml:space="preserve"> is not recommended.  If no alternative treatment is available, the dosing interval must be adjusted and renal function should be closely monitored (see sections 4.2 and 5.2).</w:t>
            </w:r>
          </w:p>
          <w:p w:rsidR="004005FA" w:rsidRPr="00BC46EA" w:rsidRDefault="004005FA" w:rsidP="00BC46EA">
            <w:pPr>
              <w:jc w:val="right"/>
              <w:rPr>
                <w:rFonts w:asciiTheme="majorBidi" w:hAnsiTheme="majorBidi" w:cstheme="majorBidi"/>
                <w:rtl/>
              </w:rPr>
            </w:pPr>
          </w:p>
        </w:tc>
        <w:tc>
          <w:tcPr>
            <w:tcW w:w="3834" w:type="dxa"/>
          </w:tcPr>
          <w:p w:rsidR="00BC46EA" w:rsidRPr="00BC46EA" w:rsidRDefault="00BC46EA" w:rsidP="00BC46EA">
            <w:pPr>
              <w:jc w:val="right"/>
              <w:rPr>
                <w:rFonts w:asciiTheme="majorBidi" w:hAnsiTheme="majorBidi" w:cstheme="majorBidi"/>
                <w:vertAlign w:val="superscript"/>
              </w:rPr>
            </w:pPr>
            <w:r w:rsidRPr="00BC46EA">
              <w:rPr>
                <w:rFonts w:asciiTheme="majorBidi" w:hAnsiTheme="majorBidi" w:cstheme="majorBidi"/>
                <w:i/>
              </w:rPr>
              <w:t xml:space="preserve">Patients with </w:t>
            </w:r>
            <w:proofErr w:type="spellStart"/>
            <w:r w:rsidRPr="00BC46EA">
              <w:rPr>
                <w:rFonts w:asciiTheme="majorBidi" w:hAnsiTheme="majorBidi" w:cstheme="majorBidi"/>
                <w:i/>
              </w:rPr>
              <w:t>creatinine</w:t>
            </w:r>
            <w:proofErr w:type="spellEnd"/>
            <w:r w:rsidRPr="00BC46EA">
              <w:rPr>
                <w:rFonts w:asciiTheme="majorBidi" w:hAnsiTheme="majorBidi" w:cstheme="majorBidi"/>
                <w:i/>
              </w:rPr>
              <w:t xml:space="preserve"> clearance &lt; 50 ml/min, including </w:t>
            </w:r>
            <w:proofErr w:type="spellStart"/>
            <w:r w:rsidRPr="00BC46EA">
              <w:rPr>
                <w:rFonts w:asciiTheme="majorBidi" w:hAnsiTheme="majorBidi" w:cstheme="majorBidi"/>
                <w:i/>
              </w:rPr>
              <w:t>haemodialysis</w:t>
            </w:r>
            <w:proofErr w:type="spellEnd"/>
            <w:r w:rsidRPr="00BC46EA">
              <w:rPr>
                <w:rFonts w:asciiTheme="majorBidi" w:hAnsiTheme="majorBidi" w:cstheme="majorBidi"/>
                <w:i/>
              </w:rPr>
              <w:t xml:space="preserve"> patients: </w:t>
            </w:r>
            <w:r w:rsidRPr="00BC46EA">
              <w:rPr>
                <w:rFonts w:asciiTheme="majorBidi" w:hAnsiTheme="majorBidi" w:cstheme="majorBidi"/>
              </w:rPr>
              <w:t xml:space="preserve">There are limited data on the safety and efficacy of </w:t>
            </w:r>
            <w:proofErr w:type="spellStart"/>
            <w:r w:rsidRPr="00BC46EA">
              <w:rPr>
                <w:rFonts w:asciiTheme="majorBidi" w:hAnsiTheme="majorBidi" w:cstheme="majorBidi"/>
              </w:rPr>
              <w:t>tenofovir</w:t>
            </w:r>
            <w:proofErr w:type="spellEnd"/>
            <w:r w:rsidRPr="00BC46EA">
              <w:rPr>
                <w:rFonts w:asciiTheme="majorBidi" w:hAnsiTheme="majorBidi" w:cstheme="majorBidi"/>
              </w:rPr>
              <w:t xml:space="preserve"> </w:t>
            </w:r>
            <w:proofErr w:type="spellStart"/>
            <w:r w:rsidRPr="00BC46EA">
              <w:rPr>
                <w:rFonts w:asciiTheme="majorBidi" w:hAnsiTheme="majorBidi" w:cstheme="majorBidi"/>
              </w:rPr>
              <w:t>disoproxil</w:t>
            </w:r>
            <w:proofErr w:type="spellEnd"/>
            <w:r w:rsidRPr="00BC46EA">
              <w:rPr>
                <w:rFonts w:asciiTheme="majorBidi" w:hAnsiTheme="majorBidi" w:cstheme="majorBidi"/>
              </w:rPr>
              <w:t xml:space="preserve"> </w:t>
            </w:r>
            <w:proofErr w:type="spellStart"/>
            <w:r w:rsidRPr="00BC46EA">
              <w:rPr>
                <w:rFonts w:asciiTheme="majorBidi" w:hAnsiTheme="majorBidi" w:cstheme="majorBidi"/>
              </w:rPr>
              <w:t>fumarate</w:t>
            </w:r>
            <w:proofErr w:type="spellEnd"/>
            <w:r w:rsidRPr="00BC46EA">
              <w:rPr>
                <w:rFonts w:asciiTheme="majorBidi" w:hAnsiTheme="majorBidi" w:cstheme="majorBidi"/>
              </w:rPr>
              <w:t xml:space="preserve"> in patients with impaired renal function.  Therefore, </w:t>
            </w:r>
            <w:proofErr w:type="spellStart"/>
            <w:r w:rsidRPr="00BC46EA">
              <w:rPr>
                <w:rFonts w:asciiTheme="majorBidi" w:hAnsiTheme="majorBidi" w:cstheme="majorBidi"/>
              </w:rPr>
              <w:t>tenofovir</w:t>
            </w:r>
            <w:proofErr w:type="spellEnd"/>
            <w:r w:rsidRPr="00BC46EA">
              <w:rPr>
                <w:rFonts w:asciiTheme="majorBidi" w:hAnsiTheme="majorBidi" w:cstheme="majorBidi"/>
              </w:rPr>
              <w:t xml:space="preserve"> </w:t>
            </w:r>
            <w:proofErr w:type="spellStart"/>
            <w:r w:rsidRPr="00BC46EA">
              <w:rPr>
                <w:rFonts w:asciiTheme="majorBidi" w:hAnsiTheme="majorBidi" w:cstheme="majorBidi"/>
              </w:rPr>
              <w:t>disoproxil</w:t>
            </w:r>
            <w:proofErr w:type="spellEnd"/>
            <w:r w:rsidRPr="00BC46EA">
              <w:rPr>
                <w:rFonts w:asciiTheme="majorBidi" w:hAnsiTheme="majorBidi" w:cstheme="majorBidi"/>
              </w:rPr>
              <w:t xml:space="preserve"> </w:t>
            </w:r>
            <w:proofErr w:type="spellStart"/>
            <w:r w:rsidRPr="00BC46EA">
              <w:rPr>
                <w:rFonts w:asciiTheme="majorBidi" w:hAnsiTheme="majorBidi" w:cstheme="majorBidi"/>
              </w:rPr>
              <w:t>fumarate</w:t>
            </w:r>
            <w:proofErr w:type="spellEnd"/>
            <w:r w:rsidRPr="00BC46EA">
              <w:rPr>
                <w:rFonts w:asciiTheme="majorBidi" w:hAnsiTheme="majorBidi" w:cstheme="majorBidi"/>
              </w:rPr>
              <w:t xml:space="preserve"> should only be used if the potential benefits of treatment are considered to outweigh the potential risks.  In patients with severe renal impairment (</w:t>
            </w:r>
            <w:proofErr w:type="spellStart"/>
            <w:r w:rsidRPr="00BC46EA">
              <w:rPr>
                <w:rFonts w:asciiTheme="majorBidi" w:hAnsiTheme="majorBidi" w:cstheme="majorBidi"/>
              </w:rPr>
              <w:t>creatinine</w:t>
            </w:r>
            <w:proofErr w:type="spellEnd"/>
            <w:r w:rsidRPr="00BC46EA">
              <w:rPr>
                <w:rFonts w:asciiTheme="majorBidi" w:hAnsiTheme="majorBidi" w:cstheme="majorBidi"/>
              </w:rPr>
              <w:t xml:space="preserve"> clearance &lt; 30 ml/min</w:t>
            </w:r>
            <w:r w:rsidRPr="00BC46EA">
              <w:rPr>
                <w:rFonts w:asciiTheme="majorBidi" w:hAnsiTheme="majorBidi" w:cstheme="majorBidi"/>
                <w:highlight w:val="yellow"/>
              </w:rPr>
              <w:t xml:space="preserve">) and in patients who require </w:t>
            </w:r>
            <w:proofErr w:type="spellStart"/>
            <w:r w:rsidRPr="00BC46EA">
              <w:rPr>
                <w:rFonts w:asciiTheme="majorBidi" w:hAnsiTheme="majorBidi" w:cstheme="majorBidi"/>
                <w:highlight w:val="yellow"/>
              </w:rPr>
              <w:t>haemodialysis</w:t>
            </w:r>
            <w:proofErr w:type="spellEnd"/>
            <w:r w:rsidRPr="00BC46EA">
              <w:rPr>
                <w:rFonts w:asciiTheme="majorBidi" w:hAnsiTheme="majorBidi" w:cstheme="majorBidi"/>
              </w:rPr>
              <w:t xml:space="preserve"> use of </w:t>
            </w:r>
            <w:proofErr w:type="spellStart"/>
            <w:r w:rsidRPr="00BC46EA">
              <w:rPr>
                <w:rFonts w:asciiTheme="majorBidi" w:hAnsiTheme="majorBidi" w:cstheme="majorBidi"/>
              </w:rPr>
              <w:t>tenofovir</w:t>
            </w:r>
            <w:proofErr w:type="spellEnd"/>
            <w:r w:rsidRPr="00BC46EA">
              <w:rPr>
                <w:rFonts w:asciiTheme="majorBidi" w:hAnsiTheme="majorBidi" w:cstheme="majorBidi"/>
              </w:rPr>
              <w:t xml:space="preserve"> is not recommended.  If no alternative treatment is available, the dosing interval must be adjusted and renal function should be closely monitored (see sections 4.2 and 5.2).</w:t>
            </w:r>
          </w:p>
          <w:p w:rsidR="004005FA" w:rsidRPr="00BC46EA" w:rsidRDefault="004005FA" w:rsidP="00BC46EA">
            <w:pPr>
              <w:autoSpaceDE w:val="0"/>
              <w:autoSpaceDN w:val="0"/>
              <w:adjustRightInd w:val="0"/>
              <w:jc w:val="right"/>
              <w:rPr>
                <w:rFonts w:asciiTheme="majorBidi" w:hAnsiTheme="majorBidi" w:cstheme="majorBidi"/>
              </w:rPr>
            </w:pPr>
          </w:p>
        </w:tc>
      </w:tr>
      <w:tr w:rsidR="004564C6" w:rsidTr="00827313">
        <w:tc>
          <w:tcPr>
            <w:tcW w:w="2409" w:type="dxa"/>
          </w:tcPr>
          <w:p w:rsidR="004564C6" w:rsidRDefault="004564C6" w:rsidP="004564C6">
            <w:pPr>
              <w:jc w:val="right"/>
              <w:rPr>
                <w:rFonts w:asciiTheme="majorBidi" w:hAnsiTheme="majorBidi" w:cstheme="majorBidi"/>
                <w:b/>
                <w:bCs/>
                <w:rtl/>
              </w:rPr>
            </w:pPr>
            <w:r>
              <w:rPr>
                <w:rFonts w:asciiTheme="majorBidi" w:hAnsiTheme="majorBidi" w:cstheme="majorBidi"/>
                <w:b/>
                <w:bCs/>
              </w:rPr>
              <w:t xml:space="preserve">4.4. </w:t>
            </w:r>
            <w:r w:rsidRPr="00F07F53">
              <w:rPr>
                <w:rFonts w:asciiTheme="majorBidi" w:hAnsiTheme="majorBidi" w:cstheme="majorBidi"/>
                <w:b/>
                <w:bCs/>
              </w:rPr>
              <w:t>Special Warnings and Special Precautions for Use</w:t>
            </w:r>
          </w:p>
          <w:p w:rsidR="004564C6" w:rsidRDefault="004564C6" w:rsidP="008A2416">
            <w:pPr>
              <w:jc w:val="right"/>
              <w:rPr>
                <w:rFonts w:asciiTheme="majorBidi" w:hAnsiTheme="majorBidi" w:cstheme="majorBidi"/>
                <w:b/>
                <w:bCs/>
              </w:rPr>
            </w:pPr>
          </w:p>
        </w:tc>
        <w:tc>
          <w:tcPr>
            <w:tcW w:w="3963" w:type="dxa"/>
          </w:tcPr>
          <w:p w:rsidR="004564C6" w:rsidRPr="00BC46EA" w:rsidRDefault="004564C6" w:rsidP="004564C6">
            <w:pPr>
              <w:jc w:val="right"/>
              <w:rPr>
                <w:rFonts w:asciiTheme="majorBidi" w:hAnsiTheme="majorBidi" w:cstheme="majorBidi"/>
                <w:i/>
              </w:rPr>
            </w:pPr>
            <w:proofErr w:type="spellStart"/>
            <w:r w:rsidRPr="00827313">
              <w:rPr>
                <w:rFonts w:asciiTheme="majorBidi" w:hAnsiTheme="majorBidi" w:cstheme="majorBidi"/>
                <w:i/>
                <w:szCs w:val="16"/>
              </w:rPr>
              <w:t>Lipodystrophy</w:t>
            </w:r>
            <w:proofErr w:type="spellEnd"/>
            <w:r w:rsidRPr="00827313">
              <w:rPr>
                <w:rFonts w:asciiTheme="majorBidi" w:hAnsiTheme="majorBidi" w:cstheme="majorBidi"/>
                <w:i/>
                <w:szCs w:val="16"/>
              </w:rPr>
              <w:t xml:space="preserve"> (</w:t>
            </w:r>
            <w:proofErr w:type="spellStart"/>
            <w:r w:rsidRPr="00827313">
              <w:rPr>
                <w:rFonts w:asciiTheme="majorBidi" w:hAnsiTheme="majorBidi" w:cstheme="majorBidi"/>
                <w:i/>
                <w:szCs w:val="16"/>
              </w:rPr>
              <w:t>lipoatrophy</w:t>
            </w:r>
            <w:proofErr w:type="spellEnd"/>
            <w:r w:rsidRPr="00827313">
              <w:rPr>
                <w:rFonts w:asciiTheme="majorBidi" w:hAnsiTheme="majorBidi" w:cstheme="majorBidi"/>
                <w:i/>
                <w:szCs w:val="16"/>
              </w:rPr>
              <w:t>/</w:t>
            </w:r>
            <w:proofErr w:type="spellStart"/>
            <w:r w:rsidRPr="00827313">
              <w:rPr>
                <w:rFonts w:asciiTheme="majorBidi" w:hAnsiTheme="majorBidi" w:cstheme="majorBidi"/>
                <w:i/>
                <w:szCs w:val="16"/>
              </w:rPr>
              <w:t>lipomatosis</w:t>
            </w:r>
            <w:proofErr w:type="spellEnd"/>
            <w:r w:rsidRPr="00827313">
              <w:rPr>
                <w:rFonts w:asciiTheme="majorBidi" w:hAnsiTheme="majorBidi" w:cstheme="majorBidi"/>
                <w:i/>
                <w:szCs w:val="16"/>
              </w:rPr>
              <w:t>):</w:t>
            </w:r>
            <w:r w:rsidRPr="00827313">
              <w:rPr>
                <w:rFonts w:asciiTheme="majorBidi" w:hAnsiTheme="majorBidi" w:cstheme="majorBidi"/>
                <w:szCs w:val="16"/>
              </w:rPr>
              <w:t xml:space="preserve"> In HIV infected </w:t>
            </w:r>
            <w:proofErr w:type="gramStart"/>
            <w:r w:rsidRPr="00827313">
              <w:rPr>
                <w:rFonts w:asciiTheme="majorBidi" w:hAnsiTheme="majorBidi" w:cstheme="majorBidi"/>
                <w:szCs w:val="16"/>
              </w:rPr>
              <w:t>patients,</w:t>
            </w:r>
            <w:proofErr w:type="gramEnd"/>
            <w:r w:rsidRPr="00827313">
              <w:rPr>
                <w:rFonts w:asciiTheme="majorBidi" w:hAnsiTheme="majorBidi" w:cstheme="majorBidi"/>
                <w:szCs w:val="16"/>
              </w:rPr>
              <w:t xml:space="preserve"> combination antiretroviral therapy has been associated with the redistribution of body fat (</w:t>
            </w:r>
            <w:proofErr w:type="spellStart"/>
            <w:r w:rsidRPr="00827313">
              <w:rPr>
                <w:rFonts w:asciiTheme="majorBidi" w:hAnsiTheme="majorBidi" w:cstheme="majorBidi"/>
                <w:szCs w:val="16"/>
              </w:rPr>
              <w:t>lipodystrophy</w:t>
            </w:r>
            <w:proofErr w:type="spellEnd"/>
            <w:r w:rsidRPr="00827313">
              <w:rPr>
                <w:rFonts w:asciiTheme="majorBidi" w:hAnsiTheme="majorBidi" w:cstheme="majorBidi"/>
                <w:szCs w:val="16"/>
              </w:rPr>
              <w:t xml:space="preserve">).  </w:t>
            </w:r>
          </w:p>
        </w:tc>
        <w:tc>
          <w:tcPr>
            <w:tcW w:w="3834" w:type="dxa"/>
          </w:tcPr>
          <w:p w:rsidR="004564C6" w:rsidRPr="00827313" w:rsidRDefault="004564C6" w:rsidP="004564C6">
            <w:pPr>
              <w:keepNext/>
              <w:keepLines/>
              <w:jc w:val="right"/>
              <w:rPr>
                <w:rFonts w:asciiTheme="majorBidi" w:hAnsiTheme="majorBidi" w:cstheme="majorBidi"/>
                <w:szCs w:val="16"/>
              </w:rPr>
            </w:pPr>
            <w:proofErr w:type="spellStart"/>
            <w:r w:rsidRPr="00D27877">
              <w:rPr>
                <w:i/>
                <w:szCs w:val="16"/>
              </w:rPr>
              <w:t>L</w:t>
            </w:r>
            <w:r w:rsidRPr="00827313">
              <w:rPr>
                <w:rFonts w:asciiTheme="majorBidi" w:hAnsiTheme="majorBidi" w:cstheme="majorBidi"/>
                <w:i/>
                <w:szCs w:val="16"/>
              </w:rPr>
              <w:t>ipodystrophy</w:t>
            </w:r>
            <w:proofErr w:type="spellEnd"/>
            <w:r w:rsidRPr="00827313">
              <w:rPr>
                <w:rFonts w:asciiTheme="majorBidi" w:hAnsiTheme="majorBidi" w:cstheme="majorBidi"/>
                <w:i/>
                <w:strike/>
                <w:szCs w:val="16"/>
                <w:highlight w:val="green"/>
              </w:rPr>
              <w:t>(</w:t>
            </w:r>
            <w:proofErr w:type="spellStart"/>
            <w:r w:rsidRPr="00827313">
              <w:rPr>
                <w:rFonts w:asciiTheme="majorBidi" w:hAnsiTheme="majorBidi" w:cstheme="majorBidi"/>
                <w:i/>
                <w:strike/>
                <w:szCs w:val="16"/>
                <w:highlight w:val="green"/>
              </w:rPr>
              <w:t>lipoatrophy</w:t>
            </w:r>
            <w:proofErr w:type="spellEnd"/>
            <w:r w:rsidRPr="00827313">
              <w:rPr>
                <w:rFonts w:asciiTheme="majorBidi" w:hAnsiTheme="majorBidi" w:cstheme="majorBidi"/>
                <w:i/>
                <w:strike/>
                <w:szCs w:val="16"/>
                <w:highlight w:val="green"/>
              </w:rPr>
              <w:t>/</w:t>
            </w:r>
            <w:proofErr w:type="spellStart"/>
            <w:r w:rsidRPr="00827313">
              <w:rPr>
                <w:rFonts w:asciiTheme="majorBidi" w:hAnsiTheme="majorBidi" w:cstheme="majorBidi"/>
                <w:i/>
                <w:strike/>
                <w:szCs w:val="16"/>
                <w:highlight w:val="green"/>
              </w:rPr>
              <w:t>lipomatosis</w:t>
            </w:r>
            <w:proofErr w:type="spellEnd"/>
            <w:r w:rsidRPr="00827313">
              <w:rPr>
                <w:rFonts w:asciiTheme="majorBidi" w:hAnsiTheme="majorBidi" w:cstheme="majorBidi"/>
                <w:i/>
                <w:strike/>
                <w:szCs w:val="16"/>
                <w:highlight w:val="green"/>
              </w:rPr>
              <w:t>)</w:t>
            </w:r>
            <w:r w:rsidRPr="00827313">
              <w:rPr>
                <w:rFonts w:asciiTheme="majorBidi" w:hAnsiTheme="majorBidi" w:cstheme="majorBidi"/>
                <w:i/>
                <w:szCs w:val="16"/>
              </w:rPr>
              <w:t xml:space="preserve">: </w:t>
            </w:r>
            <w:r w:rsidRPr="00827313">
              <w:rPr>
                <w:rFonts w:asciiTheme="majorBidi" w:hAnsiTheme="majorBidi" w:cstheme="majorBidi"/>
                <w:szCs w:val="16"/>
              </w:rPr>
              <w:t xml:space="preserve"> </w:t>
            </w:r>
            <w:r w:rsidRPr="00827313">
              <w:rPr>
                <w:rFonts w:asciiTheme="majorBidi" w:hAnsiTheme="majorBidi" w:cstheme="majorBidi"/>
                <w:strike/>
                <w:szCs w:val="16"/>
                <w:highlight w:val="green"/>
              </w:rPr>
              <w:t>In HIV infected patients,</w:t>
            </w:r>
            <w:r w:rsidRPr="00827313">
              <w:rPr>
                <w:rFonts w:asciiTheme="majorBidi" w:hAnsiTheme="majorBidi" w:cstheme="majorBidi"/>
                <w:strike/>
                <w:szCs w:val="16"/>
              </w:rPr>
              <w:t xml:space="preserve">  </w:t>
            </w:r>
          </w:p>
          <w:p w:rsidR="004564C6" w:rsidRDefault="004564C6" w:rsidP="004564C6">
            <w:pPr>
              <w:jc w:val="right"/>
              <w:rPr>
                <w:rFonts w:asciiTheme="majorBidi" w:hAnsiTheme="majorBidi" w:cstheme="majorBidi"/>
                <w:szCs w:val="16"/>
              </w:rPr>
            </w:pPr>
            <w:r w:rsidRPr="00827313">
              <w:rPr>
                <w:rFonts w:asciiTheme="majorBidi" w:hAnsiTheme="majorBidi" w:cstheme="majorBidi"/>
                <w:szCs w:val="16"/>
              </w:rPr>
              <w:t>Combination antiretroviral therapy has been associated with the redistribution of body fat (</w:t>
            </w:r>
            <w:proofErr w:type="spellStart"/>
            <w:r w:rsidRPr="00827313">
              <w:rPr>
                <w:rFonts w:asciiTheme="majorBidi" w:hAnsiTheme="majorBidi" w:cstheme="majorBidi"/>
                <w:szCs w:val="16"/>
              </w:rPr>
              <w:t>lipodystrophy</w:t>
            </w:r>
            <w:proofErr w:type="spellEnd"/>
            <w:r w:rsidRPr="005E75A6">
              <w:rPr>
                <w:rFonts w:asciiTheme="majorBidi" w:hAnsiTheme="majorBidi" w:cstheme="majorBidi"/>
                <w:szCs w:val="16"/>
              </w:rPr>
              <w:t>)</w:t>
            </w:r>
            <w:r w:rsidRPr="005E75A6">
              <w:rPr>
                <w:rFonts w:asciiTheme="majorBidi" w:hAnsiTheme="majorBidi" w:cstheme="majorBidi"/>
                <w:szCs w:val="16"/>
                <w:highlight w:val="yellow"/>
              </w:rPr>
              <w:t xml:space="preserve"> in HIV</w:t>
            </w:r>
            <w:r w:rsidRPr="00827313">
              <w:rPr>
                <w:rFonts w:asciiTheme="majorBidi" w:hAnsiTheme="majorBidi" w:cstheme="majorBidi"/>
                <w:szCs w:val="16"/>
              </w:rPr>
              <w:t xml:space="preserve"> </w:t>
            </w:r>
            <w:r w:rsidRPr="005E75A6">
              <w:rPr>
                <w:rFonts w:asciiTheme="majorBidi" w:hAnsiTheme="majorBidi" w:cstheme="majorBidi"/>
                <w:szCs w:val="16"/>
                <w:highlight w:val="yellow"/>
              </w:rPr>
              <w:t>patients.</w:t>
            </w:r>
            <w:r w:rsidRPr="00827313">
              <w:rPr>
                <w:rFonts w:asciiTheme="majorBidi" w:hAnsiTheme="majorBidi" w:cstheme="majorBidi"/>
                <w:szCs w:val="16"/>
              </w:rPr>
              <w:t xml:space="preserve">  </w:t>
            </w:r>
          </w:p>
          <w:p w:rsidR="004564C6" w:rsidRPr="00BC46EA" w:rsidRDefault="004564C6" w:rsidP="004564C6">
            <w:pPr>
              <w:jc w:val="right"/>
              <w:rPr>
                <w:rFonts w:asciiTheme="majorBidi" w:hAnsiTheme="majorBidi" w:cstheme="majorBidi"/>
                <w:i/>
              </w:rPr>
            </w:pPr>
          </w:p>
        </w:tc>
      </w:tr>
      <w:tr w:rsidR="004005FA" w:rsidTr="00827313">
        <w:tc>
          <w:tcPr>
            <w:tcW w:w="2409" w:type="dxa"/>
          </w:tcPr>
          <w:p w:rsidR="004005FA" w:rsidRDefault="004005FA" w:rsidP="008A2416">
            <w:pPr>
              <w:jc w:val="right"/>
              <w:rPr>
                <w:rFonts w:asciiTheme="majorBidi" w:hAnsiTheme="majorBidi" w:cstheme="majorBidi"/>
                <w:b/>
                <w:bCs/>
              </w:rPr>
            </w:pPr>
            <w:r>
              <w:rPr>
                <w:rFonts w:asciiTheme="majorBidi" w:hAnsiTheme="majorBidi" w:cstheme="majorBidi"/>
                <w:b/>
                <w:bCs/>
              </w:rPr>
              <w:t xml:space="preserve">4.4. </w:t>
            </w:r>
            <w:r w:rsidRPr="00F07F53">
              <w:rPr>
                <w:rFonts w:asciiTheme="majorBidi" w:hAnsiTheme="majorBidi" w:cstheme="majorBidi"/>
                <w:b/>
                <w:bCs/>
              </w:rPr>
              <w:t>Special Warnings and Special Precautions for Use</w:t>
            </w:r>
          </w:p>
        </w:tc>
        <w:tc>
          <w:tcPr>
            <w:tcW w:w="3963" w:type="dxa"/>
          </w:tcPr>
          <w:p w:rsidR="004005FA" w:rsidRPr="00F07F53" w:rsidRDefault="004005FA" w:rsidP="008A2416">
            <w:pPr>
              <w:jc w:val="right"/>
              <w:rPr>
                <w:rFonts w:asciiTheme="majorBidi" w:hAnsiTheme="majorBidi" w:cstheme="majorBidi"/>
              </w:rPr>
            </w:pPr>
          </w:p>
        </w:tc>
        <w:tc>
          <w:tcPr>
            <w:tcW w:w="3834" w:type="dxa"/>
          </w:tcPr>
          <w:p w:rsidR="004005FA" w:rsidRPr="00991B17" w:rsidRDefault="004005FA" w:rsidP="008A2416">
            <w:pPr>
              <w:autoSpaceDE w:val="0"/>
              <w:autoSpaceDN w:val="0"/>
              <w:adjustRightInd w:val="0"/>
              <w:jc w:val="right"/>
              <w:rPr>
                <w:rFonts w:ascii="TimesNewRomanPSMT" w:hAnsi="TimesNewRomanPSMT" w:cs="TimesNewRomanPSMT"/>
                <w:b/>
                <w:bCs/>
                <w:highlight w:val="yellow"/>
              </w:rPr>
            </w:pPr>
            <w:r w:rsidRPr="00991B17">
              <w:rPr>
                <w:rFonts w:ascii="TimesNewRomanPSMT" w:hAnsi="TimesNewRomanPSMT" w:cs="TimesNewRomanPSMT"/>
                <w:b/>
                <w:bCs/>
                <w:highlight w:val="yellow"/>
              </w:rPr>
              <w:t>Elderly</w:t>
            </w:r>
          </w:p>
          <w:p w:rsidR="004005FA" w:rsidRPr="00991B17" w:rsidRDefault="004005FA" w:rsidP="008A2416">
            <w:pPr>
              <w:autoSpaceDE w:val="0"/>
              <w:autoSpaceDN w:val="0"/>
              <w:adjustRightInd w:val="0"/>
              <w:jc w:val="right"/>
              <w:rPr>
                <w:rFonts w:ascii="TimesNewRomanPSMT" w:hAnsi="TimesNewRomanPSMT" w:cs="TimesNewRomanPSMT"/>
                <w:highlight w:val="yellow"/>
              </w:rPr>
            </w:pPr>
            <w:proofErr w:type="spellStart"/>
            <w:r w:rsidRPr="00991B17">
              <w:rPr>
                <w:rFonts w:ascii="TimesNewRomanPSMT" w:hAnsi="TimesNewRomanPSMT" w:cs="TimesNewRomanPSMT"/>
                <w:highlight w:val="yellow"/>
              </w:rPr>
              <w:t>Tenofovir</w:t>
            </w:r>
            <w:proofErr w:type="spellEnd"/>
            <w:r w:rsidRPr="00991B17">
              <w:rPr>
                <w:rFonts w:ascii="TimesNewRomanPSMT" w:hAnsi="TimesNewRomanPSMT" w:cs="TimesNewRomanPSMT"/>
                <w:highlight w:val="yellow"/>
              </w:rPr>
              <w:t xml:space="preserve"> </w:t>
            </w:r>
            <w:proofErr w:type="spellStart"/>
            <w:r w:rsidRPr="00991B17">
              <w:rPr>
                <w:rFonts w:ascii="TimesNewRomanPSMT" w:hAnsi="TimesNewRomanPSMT" w:cs="TimesNewRomanPSMT"/>
                <w:highlight w:val="yellow"/>
              </w:rPr>
              <w:t>disoproxil</w:t>
            </w:r>
            <w:proofErr w:type="spellEnd"/>
            <w:r w:rsidRPr="00991B17">
              <w:rPr>
                <w:rFonts w:ascii="TimesNewRomanPSMT" w:hAnsi="TimesNewRomanPSMT" w:cs="TimesNewRomanPSMT"/>
                <w:highlight w:val="yellow"/>
              </w:rPr>
              <w:t xml:space="preserve"> </w:t>
            </w:r>
            <w:proofErr w:type="spellStart"/>
            <w:r w:rsidRPr="00991B17">
              <w:rPr>
                <w:rFonts w:ascii="TimesNewRomanPSMT" w:hAnsi="TimesNewRomanPSMT" w:cs="TimesNewRomanPSMT"/>
                <w:highlight w:val="yellow"/>
              </w:rPr>
              <w:t>fumarate</w:t>
            </w:r>
            <w:proofErr w:type="spellEnd"/>
            <w:r w:rsidRPr="00991B17">
              <w:rPr>
                <w:rFonts w:ascii="TimesNewRomanPSMT" w:hAnsi="TimesNewRomanPSMT" w:cs="TimesNewRomanPSMT"/>
                <w:highlight w:val="yellow"/>
              </w:rPr>
              <w:t xml:space="preserve"> has not been studied in patients over the age of 65. Elderly patients are</w:t>
            </w:r>
          </w:p>
          <w:p w:rsidR="004005FA" w:rsidRPr="00991B17" w:rsidRDefault="004005FA" w:rsidP="008A2416">
            <w:pPr>
              <w:autoSpaceDE w:val="0"/>
              <w:autoSpaceDN w:val="0"/>
              <w:adjustRightInd w:val="0"/>
              <w:jc w:val="right"/>
              <w:rPr>
                <w:rFonts w:ascii="TimesNewRomanPSMT" w:hAnsi="TimesNewRomanPSMT" w:cs="TimesNewRomanPSMT"/>
                <w:highlight w:val="yellow"/>
              </w:rPr>
            </w:pPr>
            <w:r w:rsidRPr="00991B17">
              <w:rPr>
                <w:rFonts w:ascii="TimesNewRomanPSMT" w:hAnsi="TimesNewRomanPSMT" w:cs="TimesNewRomanPSMT"/>
                <w:highlight w:val="yellow"/>
              </w:rPr>
              <w:t>more likely to have decreased renal function; therefore caution should be exercised when treating</w:t>
            </w:r>
          </w:p>
          <w:p w:rsidR="004005FA" w:rsidRPr="00991B17" w:rsidRDefault="004005FA" w:rsidP="008A2416">
            <w:pPr>
              <w:autoSpaceDE w:val="0"/>
              <w:autoSpaceDN w:val="0"/>
              <w:adjustRightInd w:val="0"/>
              <w:jc w:val="right"/>
              <w:rPr>
                <w:rFonts w:ascii="TimesNewRomanPSMT" w:hAnsi="TimesNewRomanPSMT" w:cs="TimesNewRomanPSMT"/>
                <w:highlight w:val="yellow"/>
              </w:rPr>
            </w:pPr>
            <w:proofErr w:type="gramStart"/>
            <w:r w:rsidRPr="00991B17">
              <w:rPr>
                <w:rFonts w:ascii="TimesNewRomanPSMT" w:hAnsi="TimesNewRomanPSMT" w:cs="TimesNewRomanPSMT"/>
                <w:highlight w:val="yellow"/>
              </w:rPr>
              <w:t>elderly</w:t>
            </w:r>
            <w:proofErr w:type="gramEnd"/>
            <w:r w:rsidRPr="00991B17">
              <w:rPr>
                <w:rFonts w:ascii="TimesNewRomanPSMT" w:hAnsi="TimesNewRomanPSMT" w:cs="TimesNewRomanPSMT"/>
                <w:highlight w:val="yellow"/>
              </w:rPr>
              <w:t xml:space="preserve"> patients with </w:t>
            </w:r>
            <w:proofErr w:type="spellStart"/>
            <w:r w:rsidRPr="00991B17">
              <w:rPr>
                <w:rFonts w:ascii="TimesNewRomanPSMT" w:hAnsi="TimesNewRomanPSMT" w:cs="TimesNewRomanPSMT"/>
                <w:highlight w:val="yellow"/>
              </w:rPr>
              <w:t>tenofovir</w:t>
            </w:r>
            <w:proofErr w:type="spellEnd"/>
            <w:r w:rsidRPr="00991B17">
              <w:rPr>
                <w:rFonts w:ascii="TimesNewRomanPSMT" w:hAnsi="TimesNewRomanPSMT" w:cs="TimesNewRomanPSMT"/>
                <w:highlight w:val="yellow"/>
              </w:rPr>
              <w:t xml:space="preserve"> </w:t>
            </w:r>
            <w:proofErr w:type="spellStart"/>
            <w:r w:rsidRPr="00991B17">
              <w:rPr>
                <w:rFonts w:ascii="TimesNewRomanPSMT" w:hAnsi="TimesNewRomanPSMT" w:cs="TimesNewRomanPSMT"/>
                <w:highlight w:val="yellow"/>
              </w:rPr>
              <w:t>disoproxil</w:t>
            </w:r>
            <w:proofErr w:type="spellEnd"/>
            <w:r w:rsidRPr="00991B17">
              <w:rPr>
                <w:rFonts w:ascii="TimesNewRomanPSMT" w:hAnsi="TimesNewRomanPSMT" w:cs="TimesNewRomanPSMT"/>
                <w:highlight w:val="yellow"/>
              </w:rPr>
              <w:t xml:space="preserve"> </w:t>
            </w:r>
            <w:proofErr w:type="spellStart"/>
            <w:r w:rsidRPr="00991B17">
              <w:rPr>
                <w:rFonts w:ascii="TimesNewRomanPSMT" w:hAnsi="TimesNewRomanPSMT" w:cs="TimesNewRomanPSMT"/>
                <w:highlight w:val="yellow"/>
              </w:rPr>
              <w:t>fumarate</w:t>
            </w:r>
            <w:proofErr w:type="spellEnd"/>
            <w:r w:rsidRPr="00991B17">
              <w:rPr>
                <w:rFonts w:ascii="TimesNewRomanPSMT" w:hAnsi="TimesNewRomanPSMT" w:cs="TimesNewRomanPSMT"/>
                <w:highlight w:val="yellow"/>
              </w:rPr>
              <w:t>.</w:t>
            </w:r>
          </w:p>
          <w:p w:rsidR="004005FA" w:rsidRPr="00991B17" w:rsidRDefault="004005FA" w:rsidP="008A2416">
            <w:pPr>
              <w:autoSpaceDE w:val="0"/>
              <w:autoSpaceDN w:val="0"/>
              <w:adjustRightInd w:val="0"/>
              <w:jc w:val="right"/>
              <w:rPr>
                <w:rFonts w:ascii="TimesNewRomanPSMT" w:hAnsi="TimesNewRomanPSMT" w:cs="TimesNewRomanPSMT"/>
                <w:highlight w:val="yellow"/>
              </w:rPr>
            </w:pPr>
            <w:proofErr w:type="spellStart"/>
            <w:r w:rsidRPr="00991B17">
              <w:rPr>
                <w:rFonts w:ascii="TimesNewRomanPSMT" w:hAnsi="TimesNewRomanPSMT" w:cs="TimesNewRomanPSMT"/>
                <w:highlight w:val="yellow"/>
              </w:rPr>
              <w:t>Viread</w:t>
            </w:r>
            <w:proofErr w:type="spellEnd"/>
            <w:r w:rsidRPr="00991B17">
              <w:rPr>
                <w:rFonts w:ascii="TimesNewRomanPSMT" w:hAnsi="TimesNewRomanPSMT" w:cs="TimesNewRomanPSMT"/>
                <w:highlight w:val="yellow"/>
              </w:rPr>
              <w:t xml:space="preserve"> contains lactose monohydrate. Consequently, patients with rare hereditary problems of</w:t>
            </w:r>
          </w:p>
          <w:p w:rsidR="004005FA" w:rsidRPr="00991B17" w:rsidRDefault="004005FA" w:rsidP="008A2416">
            <w:pPr>
              <w:autoSpaceDE w:val="0"/>
              <w:autoSpaceDN w:val="0"/>
              <w:adjustRightInd w:val="0"/>
              <w:jc w:val="right"/>
              <w:rPr>
                <w:rFonts w:ascii="TimesNewRomanPSMT" w:hAnsi="TimesNewRomanPSMT" w:cs="TimesNewRomanPSMT"/>
                <w:highlight w:val="yellow"/>
              </w:rPr>
            </w:pPr>
            <w:proofErr w:type="spellStart"/>
            <w:r w:rsidRPr="00991B17">
              <w:rPr>
                <w:rFonts w:ascii="TimesNewRomanPSMT" w:hAnsi="TimesNewRomanPSMT" w:cs="TimesNewRomanPSMT"/>
                <w:highlight w:val="yellow"/>
              </w:rPr>
              <w:lastRenderedPageBreak/>
              <w:t>galactose</w:t>
            </w:r>
            <w:proofErr w:type="spellEnd"/>
            <w:r w:rsidRPr="00991B17">
              <w:rPr>
                <w:rFonts w:ascii="TimesNewRomanPSMT" w:hAnsi="TimesNewRomanPSMT" w:cs="TimesNewRomanPSMT"/>
                <w:highlight w:val="yellow"/>
              </w:rPr>
              <w:t xml:space="preserve"> intolerance, the Lapp lactase deficiency, or glucose-</w:t>
            </w:r>
            <w:proofErr w:type="spellStart"/>
            <w:r w:rsidRPr="00991B17">
              <w:rPr>
                <w:rFonts w:ascii="TimesNewRomanPSMT" w:hAnsi="TimesNewRomanPSMT" w:cs="TimesNewRomanPSMT"/>
                <w:highlight w:val="yellow"/>
              </w:rPr>
              <w:t>galactose</w:t>
            </w:r>
            <w:proofErr w:type="spellEnd"/>
            <w:r w:rsidRPr="00991B17">
              <w:rPr>
                <w:rFonts w:ascii="TimesNewRomanPSMT" w:hAnsi="TimesNewRomanPSMT" w:cs="TimesNewRomanPSMT"/>
                <w:highlight w:val="yellow"/>
              </w:rPr>
              <w:t xml:space="preserve"> </w:t>
            </w:r>
            <w:proofErr w:type="spellStart"/>
            <w:r w:rsidRPr="00991B17">
              <w:rPr>
                <w:rFonts w:ascii="TimesNewRomanPSMT" w:hAnsi="TimesNewRomanPSMT" w:cs="TimesNewRomanPSMT"/>
                <w:highlight w:val="yellow"/>
              </w:rPr>
              <w:t>malabsorption</w:t>
            </w:r>
            <w:proofErr w:type="spellEnd"/>
            <w:r w:rsidRPr="00991B17">
              <w:rPr>
                <w:rFonts w:ascii="TimesNewRomanPSMT" w:hAnsi="TimesNewRomanPSMT" w:cs="TimesNewRomanPSMT"/>
                <w:highlight w:val="yellow"/>
              </w:rPr>
              <w:t xml:space="preserve"> should not take</w:t>
            </w:r>
          </w:p>
          <w:p w:rsidR="004005FA" w:rsidRPr="00C56D98" w:rsidRDefault="004005FA" w:rsidP="008A2416">
            <w:pPr>
              <w:jc w:val="right"/>
              <w:rPr>
                <w:rtl/>
              </w:rPr>
            </w:pPr>
            <w:proofErr w:type="gramStart"/>
            <w:r w:rsidRPr="00991B17">
              <w:rPr>
                <w:rFonts w:ascii="TimesNewRomanPSMT" w:hAnsi="TimesNewRomanPSMT" w:cs="TimesNewRomanPSMT"/>
                <w:highlight w:val="yellow"/>
              </w:rPr>
              <w:t>this</w:t>
            </w:r>
            <w:proofErr w:type="gramEnd"/>
            <w:r w:rsidRPr="00991B17">
              <w:rPr>
                <w:rFonts w:ascii="TimesNewRomanPSMT" w:hAnsi="TimesNewRomanPSMT" w:cs="TimesNewRomanPSMT"/>
                <w:highlight w:val="yellow"/>
              </w:rPr>
              <w:t xml:space="preserve"> medicinal product.</w:t>
            </w:r>
          </w:p>
          <w:p w:rsidR="004005FA" w:rsidRPr="00F07F53" w:rsidRDefault="004005FA" w:rsidP="008A2416">
            <w:pPr>
              <w:autoSpaceDE w:val="0"/>
              <w:autoSpaceDN w:val="0"/>
              <w:adjustRightInd w:val="0"/>
              <w:jc w:val="right"/>
              <w:rPr>
                <w:rFonts w:asciiTheme="majorBidi" w:hAnsiTheme="majorBidi" w:cstheme="majorBidi"/>
              </w:rPr>
            </w:pPr>
          </w:p>
        </w:tc>
      </w:tr>
      <w:tr w:rsidR="0018755D" w:rsidTr="00827313">
        <w:tc>
          <w:tcPr>
            <w:tcW w:w="2409" w:type="dxa"/>
          </w:tcPr>
          <w:p w:rsidR="00C7202C" w:rsidRPr="00C7202C" w:rsidRDefault="00C7202C" w:rsidP="001E1CBA">
            <w:pPr>
              <w:bidi w:val="0"/>
              <w:ind w:left="567" w:right="567" w:hanging="567"/>
              <w:rPr>
                <w:rFonts w:asciiTheme="majorBidi" w:hAnsiTheme="majorBidi" w:cstheme="majorBidi"/>
                <w:color w:val="000000"/>
              </w:rPr>
            </w:pPr>
            <w:r>
              <w:rPr>
                <w:rFonts w:asciiTheme="majorBidi" w:hAnsiTheme="majorBidi" w:cstheme="majorBidi"/>
                <w:b/>
                <w:color w:val="000000"/>
              </w:rPr>
              <w:lastRenderedPageBreak/>
              <w:t xml:space="preserve">4.5  </w:t>
            </w:r>
            <w:r w:rsidR="001E1CBA">
              <w:rPr>
                <w:rFonts w:asciiTheme="majorBidi" w:hAnsiTheme="majorBidi" w:cstheme="majorBidi"/>
                <w:b/>
                <w:color w:val="000000"/>
              </w:rPr>
              <w:t xml:space="preserve">Interaction </w:t>
            </w:r>
          </w:p>
          <w:p w:rsidR="0018755D" w:rsidRPr="00C7202C" w:rsidRDefault="001E1CBA" w:rsidP="00220698">
            <w:pPr>
              <w:jc w:val="right"/>
              <w:rPr>
                <w:rFonts w:asciiTheme="majorBidi" w:hAnsiTheme="majorBidi" w:cstheme="majorBidi"/>
                <w:b/>
                <w:bCs/>
              </w:rPr>
            </w:pPr>
            <w:r>
              <w:rPr>
                <w:rFonts w:asciiTheme="majorBidi" w:hAnsiTheme="majorBidi" w:cstheme="majorBidi"/>
                <w:b/>
                <w:bCs/>
              </w:rPr>
              <w:t xml:space="preserve">With other </w:t>
            </w:r>
            <w:r w:rsidR="00220698">
              <w:rPr>
                <w:rFonts w:asciiTheme="majorBidi" w:hAnsiTheme="majorBidi" w:cstheme="majorBidi"/>
                <w:b/>
                <w:bCs/>
              </w:rPr>
              <w:t xml:space="preserve">medicaments </w:t>
            </w:r>
            <w:r>
              <w:rPr>
                <w:rFonts w:asciiTheme="majorBidi" w:hAnsiTheme="majorBidi" w:cstheme="majorBidi"/>
                <w:b/>
                <w:bCs/>
              </w:rPr>
              <w:t>and other forms of interaction</w:t>
            </w:r>
          </w:p>
        </w:tc>
        <w:tc>
          <w:tcPr>
            <w:tcW w:w="3963" w:type="dxa"/>
          </w:tcPr>
          <w:p w:rsidR="00C7202C" w:rsidRPr="00C7202C" w:rsidRDefault="00C7202C" w:rsidP="00C7202C">
            <w:pPr>
              <w:bidi w:val="0"/>
              <w:jc w:val="both"/>
              <w:rPr>
                <w:rFonts w:asciiTheme="majorBidi" w:hAnsiTheme="majorBidi" w:cstheme="majorBidi"/>
                <w:i/>
              </w:rPr>
            </w:pPr>
            <w:r w:rsidRPr="00C7202C">
              <w:rPr>
                <w:rFonts w:asciiTheme="majorBidi" w:hAnsiTheme="majorBidi" w:cstheme="majorBidi"/>
                <w:i/>
              </w:rPr>
              <w:t>Concomitant use not recommended:</w:t>
            </w:r>
          </w:p>
          <w:p w:rsidR="00C7202C" w:rsidRPr="00C7202C" w:rsidRDefault="00C7202C" w:rsidP="00C7202C">
            <w:pPr>
              <w:bidi w:val="0"/>
              <w:jc w:val="both"/>
              <w:rPr>
                <w:rFonts w:asciiTheme="majorBidi" w:hAnsiTheme="majorBidi" w:cstheme="majorBidi"/>
              </w:rPr>
            </w:pPr>
            <w:proofErr w:type="spellStart"/>
            <w:r w:rsidRPr="00C7202C">
              <w:rPr>
                <w:rFonts w:asciiTheme="majorBidi" w:hAnsiTheme="majorBidi" w:cstheme="majorBidi"/>
              </w:rPr>
              <w:t>Viread</w:t>
            </w:r>
            <w:proofErr w:type="spellEnd"/>
            <w:r w:rsidRPr="00C7202C">
              <w:rPr>
                <w:rFonts w:asciiTheme="majorBidi" w:hAnsiTheme="majorBidi" w:cstheme="majorBidi"/>
              </w:rPr>
              <w:t xml:space="preserve"> should not be administered with any other medicinal products containing </w:t>
            </w:r>
            <w:proofErr w:type="spellStart"/>
            <w:r w:rsidRPr="00C7202C">
              <w:rPr>
                <w:rFonts w:asciiTheme="majorBidi" w:hAnsiTheme="majorBidi" w:cstheme="majorBidi"/>
              </w:rPr>
              <w:t>tenofovir</w:t>
            </w:r>
            <w:proofErr w:type="spellEnd"/>
            <w:r w:rsidRPr="00C7202C">
              <w:rPr>
                <w:rFonts w:asciiTheme="majorBidi" w:hAnsiTheme="majorBidi" w:cstheme="majorBidi"/>
              </w:rPr>
              <w:t xml:space="preserve"> </w:t>
            </w:r>
            <w:proofErr w:type="spellStart"/>
            <w:r w:rsidRPr="00C7202C">
              <w:rPr>
                <w:rFonts w:asciiTheme="majorBidi" w:hAnsiTheme="majorBidi" w:cstheme="majorBidi"/>
              </w:rPr>
              <w:t>disoproxil</w:t>
            </w:r>
            <w:proofErr w:type="spellEnd"/>
            <w:r w:rsidRPr="00C7202C">
              <w:rPr>
                <w:rFonts w:asciiTheme="majorBidi" w:hAnsiTheme="majorBidi" w:cstheme="majorBidi"/>
              </w:rPr>
              <w:t xml:space="preserve"> </w:t>
            </w:r>
            <w:proofErr w:type="spellStart"/>
            <w:r w:rsidRPr="00C7202C">
              <w:rPr>
                <w:rFonts w:asciiTheme="majorBidi" w:hAnsiTheme="majorBidi" w:cstheme="majorBidi"/>
              </w:rPr>
              <w:t>fumarate</w:t>
            </w:r>
            <w:proofErr w:type="spellEnd"/>
            <w:r w:rsidRPr="00C7202C">
              <w:rPr>
                <w:rFonts w:asciiTheme="majorBidi" w:hAnsiTheme="majorBidi" w:cstheme="majorBidi"/>
              </w:rPr>
              <w:t xml:space="preserve"> (</w:t>
            </w:r>
            <w:proofErr w:type="spellStart"/>
            <w:r w:rsidRPr="00C7202C">
              <w:rPr>
                <w:rFonts w:asciiTheme="majorBidi" w:hAnsiTheme="majorBidi" w:cstheme="majorBidi"/>
              </w:rPr>
              <w:t>Truvada</w:t>
            </w:r>
            <w:proofErr w:type="spellEnd"/>
            <w:r w:rsidRPr="00C7202C">
              <w:rPr>
                <w:rFonts w:asciiTheme="majorBidi" w:hAnsiTheme="majorBidi" w:cstheme="majorBidi"/>
              </w:rPr>
              <w:t xml:space="preserve"> or </w:t>
            </w:r>
            <w:proofErr w:type="spellStart"/>
            <w:r w:rsidRPr="00C7202C">
              <w:rPr>
                <w:rFonts w:asciiTheme="majorBidi" w:hAnsiTheme="majorBidi" w:cstheme="majorBidi"/>
              </w:rPr>
              <w:t>Atripla</w:t>
            </w:r>
            <w:proofErr w:type="spellEnd"/>
            <w:r w:rsidRPr="00C7202C">
              <w:rPr>
                <w:rFonts w:asciiTheme="majorBidi" w:hAnsiTheme="majorBidi" w:cstheme="majorBidi"/>
              </w:rPr>
              <w:t>).</w:t>
            </w:r>
          </w:p>
          <w:p w:rsidR="00C7202C" w:rsidRPr="00C7202C" w:rsidRDefault="00C7202C" w:rsidP="00C7202C">
            <w:pPr>
              <w:bidi w:val="0"/>
              <w:jc w:val="both"/>
              <w:rPr>
                <w:rFonts w:asciiTheme="majorBidi" w:hAnsiTheme="majorBidi" w:cstheme="majorBidi"/>
              </w:rPr>
            </w:pPr>
          </w:p>
          <w:p w:rsidR="00C7202C" w:rsidRPr="00C7202C" w:rsidRDefault="00C7202C" w:rsidP="00C7202C">
            <w:pPr>
              <w:bidi w:val="0"/>
              <w:jc w:val="both"/>
              <w:rPr>
                <w:rFonts w:asciiTheme="majorBidi" w:hAnsiTheme="majorBidi" w:cstheme="majorBidi"/>
              </w:rPr>
            </w:pPr>
            <w:proofErr w:type="spellStart"/>
            <w:r w:rsidRPr="00C7202C">
              <w:rPr>
                <w:rFonts w:asciiTheme="majorBidi" w:hAnsiTheme="majorBidi" w:cstheme="majorBidi"/>
              </w:rPr>
              <w:t>Viread</w:t>
            </w:r>
            <w:proofErr w:type="spellEnd"/>
            <w:r w:rsidRPr="00C7202C">
              <w:rPr>
                <w:rFonts w:asciiTheme="majorBidi" w:hAnsiTheme="majorBidi" w:cstheme="majorBidi"/>
              </w:rPr>
              <w:t xml:space="preserve"> should also not be administered concurrently with </w:t>
            </w:r>
            <w:proofErr w:type="spellStart"/>
            <w:r w:rsidRPr="00C7202C">
              <w:rPr>
                <w:rFonts w:asciiTheme="majorBidi" w:hAnsiTheme="majorBidi" w:cstheme="majorBidi"/>
              </w:rPr>
              <w:t>adefovir</w:t>
            </w:r>
            <w:proofErr w:type="spellEnd"/>
            <w:r w:rsidRPr="00C7202C">
              <w:rPr>
                <w:rFonts w:asciiTheme="majorBidi" w:hAnsiTheme="majorBidi" w:cstheme="majorBidi"/>
              </w:rPr>
              <w:t xml:space="preserve"> </w:t>
            </w:r>
            <w:proofErr w:type="spellStart"/>
            <w:r w:rsidRPr="00C7202C">
              <w:rPr>
                <w:rFonts w:asciiTheme="majorBidi" w:hAnsiTheme="majorBidi" w:cstheme="majorBidi"/>
              </w:rPr>
              <w:t>dipivoxil</w:t>
            </w:r>
            <w:proofErr w:type="spellEnd"/>
            <w:r w:rsidRPr="00C7202C">
              <w:rPr>
                <w:rFonts w:asciiTheme="majorBidi" w:hAnsiTheme="majorBidi" w:cstheme="majorBidi"/>
              </w:rPr>
              <w:t>.</w:t>
            </w:r>
          </w:p>
          <w:p w:rsidR="0018755D" w:rsidRPr="00C7202C" w:rsidRDefault="0018755D" w:rsidP="008A2416">
            <w:pPr>
              <w:jc w:val="right"/>
              <w:rPr>
                <w:rFonts w:asciiTheme="majorBidi" w:hAnsiTheme="majorBidi" w:cstheme="majorBidi"/>
              </w:rPr>
            </w:pPr>
          </w:p>
        </w:tc>
        <w:tc>
          <w:tcPr>
            <w:tcW w:w="3834" w:type="dxa"/>
          </w:tcPr>
          <w:p w:rsidR="00C7202C" w:rsidRPr="00C7202C" w:rsidRDefault="00C7202C" w:rsidP="00C7202C">
            <w:pPr>
              <w:jc w:val="right"/>
              <w:rPr>
                <w:rFonts w:asciiTheme="majorBidi" w:hAnsiTheme="majorBidi" w:cstheme="majorBidi"/>
                <w:i/>
              </w:rPr>
            </w:pPr>
            <w:r w:rsidRPr="00C7202C">
              <w:rPr>
                <w:rFonts w:asciiTheme="majorBidi" w:hAnsiTheme="majorBidi" w:cstheme="majorBidi"/>
                <w:i/>
              </w:rPr>
              <w:t>Concomitant use not recommended:</w:t>
            </w:r>
          </w:p>
          <w:p w:rsidR="00C7202C" w:rsidRPr="00C7202C" w:rsidRDefault="00C7202C" w:rsidP="00C7202C">
            <w:pPr>
              <w:jc w:val="right"/>
              <w:rPr>
                <w:rFonts w:asciiTheme="majorBidi" w:hAnsiTheme="majorBidi" w:cstheme="majorBidi"/>
              </w:rPr>
            </w:pPr>
            <w:proofErr w:type="spellStart"/>
            <w:r w:rsidRPr="00C7202C">
              <w:rPr>
                <w:rFonts w:asciiTheme="majorBidi" w:hAnsiTheme="majorBidi" w:cstheme="majorBidi"/>
              </w:rPr>
              <w:t>Viread</w:t>
            </w:r>
            <w:proofErr w:type="spellEnd"/>
            <w:r w:rsidRPr="00C7202C">
              <w:rPr>
                <w:rFonts w:asciiTheme="majorBidi" w:hAnsiTheme="majorBidi" w:cstheme="majorBidi"/>
              </w:rPr>
              <w:t xml:space="preserve"> should not be administered </w:t>
            </w:r>
            <w:r w:rsidRPr="00C7202C">
              <w:rPr>
                <w:rFonts w:asciiTheme="majorBidi" w:hAnsiTheme="majorBidi" w:cstheme="majorBidi"/>
                <w:highlight w:val="yellow"/>
              </w:rPr>
              <w:t>concomitantly</w:t>
            </w:r>
            <w:r w:rsidRPr="00C7202C">
              <w:rPr>
                <w:rFonts w:asciiTheme="majorBidi" w:hAnsiTheme="majorBidi" w:cstheme="majorBidi"/>
              </w:rPr>
              <w:t xml:space="preserve"> with </w:t>
            </w:r>
            <w:r w:rsidRPr="00C7202C">
              <w:rPr>
                <w:rFonts w:asciiTheme="majorBidi" w:hAnsiTheme="majorBidi" w:cstheme="majorBidi"/>
                <w:strike/>
                <w:highlight w:val="green"/>
              </w:rPr>
              <w:t>any</w:t>
            </w:r>
            <w:r w:rsidRPr="00C7202C">
              <w:rPr>
                <w:rFonts w:asciiTheme="majorBidi" w:hAnsiTheme="majorBidi" w:cstheme="majorBidi"/>
              </w:rPr>
              <w:t xml:space="preserve"> other medicinal products containing </w:t>
            </w:r>
            <w:proofErr w:type="spellStart"/>
            <w:r w:rsidRPr="00C7202C">
              <w:rPr>
                <w:rFonts w:asciiTheme="majorBidi" w:hAnsiTheme="majorBidi" w:cstheme="majorBidi"/>
              </w:rPr>
              <w:t>tenofovir</w:t>
            </w:r>
            <w:proofErr w:type="spellEnd"/>
            <w:r w:rsidRPr="00C7202C">
              <w:rPr>
                <w:rFonts w:asciiTheme="majorBidi" w:hAnsiTheme="majorBidi" w:cstheme="majorBidi"/>
              </w:rPr>
              <w:t xml:space="preserve"> </w:t>
            </w:r>
            <w:proofErr w:type="spellStart"/>
            <w:r w:rsidRPr="00C7202C">
              <w:rPr>
                <w:rFonts w:asciiTheme="majorBidi" w:hAnsiTheme="majorBidi" w:cstheme="majorBidi"/>
              </w:rPr>
              <w:t>disoproxil</w:t>
            </w:r>
            <w:proofErr w:type="spellEnd"/>
            <w:r w:rsidRPr="00C7202C">
              <w:rPr>
                <w:rFonts w:asciiTheme="majorBidi" w:hAnsiTheme="majorBidi" w:cstheme="majorBidi"/>
              </w:rPr>
              <w:t xml:space="preserve"> </w:t>
            </w:r>
            <w:proofErr w:type="spellStart"/>
            <w:r w:rsidRPr="00C7202C">
              <w:rPr>
                <w:rFonts w:asciiTheme="majorBidi" w:hAnsiTheme="majorBidi" w:cstheme="majorBidi"/>
              </w:rPr>
              <w:t>fumarate</w:t>
            </w:r>
            <w:proofErr w:type="spellEnd"/>
            <w:r w:rsidRPr="00C7202C">
              <w:rPr>
                <w:rFonts w:asciiTheme="majorBidi" w:hAnsiTheme="majorBidi" w:cstheme="majorBidi"/>
              </w:rPr>
              <w:t>.</w:t>
            </w:r>
            <w:r w:rsidRPr="00C7202C">
              <w:rPr>
                <w:rFonts w:asciiTheme="majorBidi" w:hAnsiTheme="majorBidi" w:cstheme="majorBidi"/>
                <w:strike/>
              </w:rPr>
              <w:t xml:space="preserve"> </w:t>
            </w:r>
            <w:r w:rsidRPr="00C7202C">
              <w:rPr>
                <w:rFonts w:asciiTheme="majorBidi" w:hAnsiTheme="majorBidi" w:cstheme="majorBidi"/>
                <w:strike/>
                <w:highlight w:val="green"/>
              </w:rPr>
              <w:t>(</w:t>
            </w:r>
            <w:proofErr w:type="spellStart"/>
            <w:r w:rsidRPr="00C7202C">
              <w:rPr>
                <w:rFonts w:asciiTheme="majorBidi" w:hAnsiTheme="majorBidi" w:cstheme="majorBidi"/>
                <w:strike/>
                <w:highlight w:val="green"/>
              </w:rPr>
              <w:t>Truvada</w:t>
            </w:r>
            <w:proofErr w:type="spellEnd"/>
            <w:r w:rsidRPr="00C7202C">
              <w:rPr>
                <w:rFonts w:asciiTheme="majorBidi" w:hAnsiTheme="majorBidi" w:cstheme="majorBidi"/>
                <w:strike/>
                <w:highlight w:val="green"/>
              </w:rPr>
              <w:t xml:space="preserve"> or </w:t>
            </w:r>
            <w:proofErr w:type="spellStart"/>
            <w:r w:rsidRPr="00C7202C">
              <w:rPr>
                <w:rFonts w:asciiTheme="majorBidi" w:hAnsiTheme="majorBidi" w:cstheme="majorBidi"/>
                <w:strike/>
                <w:highlight w:val="green"/>
              </w:rPr>
              <w:t>Atripla</w:t>
            </w:r>
            <w:proofErr w:type="spellEnd"/>
            <w:r w:rsidRPr="00C7202C">
              <w:rPr>
                <w:rFonts w:asciiTheme="majorBidi" w:hAnsiTheme="majorBidi" w:cstheme="majorBidi"/>
                <w:strike/>
                <w:highlight w:val="green"/>
              </w:rPr>
              <w:t>).</w:t>
            </w:r>
          </w:p>
          <w:p w:rsidR="00C7202C" w:rsidRPr="00C7202C" w:rsidRDefault="00C7202C" w:rsidP="00C7202C">
            <w:pPr>
              <w:jc w:val="right"/>
              <w:rPr>
                <w:rFonts w:asciiTheme="majorBidi" w:hAnsiTheme="majorBidi" w:cstheme="majorBidi"/>
              </w:rPr>
            </w:pPr>
          </w:p>
          <w:p w:rsidR="00C7202C" w:rsidRPr="00C7202C" w:rsidRDefault="00C7202C" w:rsidP="00C7202C">
            <w:pPr>
              <w:jc w:val="right"/>
              <w:rPr>
                <w:rFonts w:asciiTheme="majorBidi" w:hAnsiTheme="majorBidi" w:cstheme="majorBidi"/>
              </w:rPr>
            </w:pPr>
            <w:proofErr w:type="spellStart"/>
            <w:r w:rsidRPr="00C7202C">
              <w:rPr>
                <w:rFonts w:asciiTheme="majorBidi" w:hAnsiTheme="majorBidi" w:cstheme="majorBidi"/>
              </w:rPr>
              <w:t>Viread</w:t>
            </w:r>
            <w:proofErr w:type="spellEnd"/>
            <w:r w:rsidRPr="00C7202C">
              <w:rPr>
                <w:rFonts w:asciiTheme="majorBidi" w:hAnsiTheme="majorBidi" w:cstheme="majorBidi"/>
              </w:rPr>
              <w:t xml:space="preserve"> should </w:t>
            </w:r>
            <w:r w:rsidRPr="00C7202C">
              <w:rPr>
                <w:rFonts w:asciiTheme="majorBidi" w:hAnsiTheme="majorBidi" w:cstheme="majorBidi"/>
                <w:strike/>
                <w:highlight w:val="green"/>
              </w:rPr>
              <w:t>also</w:t>
            </w:r>
            <w:r w:rsidRPr="00C7202C">
              <w:rPr>
                <w:rFonts w:asciiTheme="majorBidi" w:hAnsiTheme="majorBidi" w:cstheme="majorBidi"/>
              </w:rPr>
              <w:t xml:space="preserve"> not be administered </w:t>
            </w:r>
            <w:r w:rsidRPr="00C7202C">
              <w:rPr>
                <w:rFonts w:asciiTheme="majorBidi" w:hAnsiTheme="majorBidi" w:cstheme="majorBidi"/>
                <w:highlight w:val="yellow"/>
              </w:rPr>
              <w:t>concomitantly</w:t>
            </w:r>
            <w:r w:rsidRPr="00C7202C">
              <w:rPr>
                <w:rFonts w:asciiTheme="majorBidi" w:hAnsiTheme="majorBidi" w:cstheme="majorBidi"/>
              </w:rPr>
              <w:t xml:space="preserve"> </w:t>
            </w:r>
            <w:r w:rsidRPr="00C7202C">
              <w:rPr>
                <w:rFonts w:asciiTheme="majorBidi" w:hAnsiTheme="majorBidi" w:cstheme="majorBidi"/>
                <w:strike/>
                <w:highlight w:val="green"/>
              </w:rPr>
              <w:t>concurrently</w:t>
            </w:r>
            <w:r w:rsidRPr="00C7202C">
              <w:rPr>
                <w:rFonts w:asciiTheme="majorBidi" w:hAnsiTheme="majorBidi" w:cstheme="majorBidi"/>
              </w:rPr>
              <w:t xml:space="preserve"> with </w:t>
            </w:r>
            <w:proofErr w:type="spellStart"/>
            <w:r w:rsidRPr="00C7202C">
              <w:rPr>
                <w:rFonts w:asciiTheme="majorBidi" w:hAnsiTheme="majorBidi" w:cstheme="majorBidi"/>
              </w:rPr>
              <w:t>adefovir</w:t>
            </w:r>
            <w:proofErr w:type="spellEnd"/>
            <w:r w:rsidRPr="00C7202C">
              <w:rPr>
                <w:rFonts w:asciiTheme="majorBidi" w:hAnsiTheme="majorBidi" w:cstheme="majorBidi"/>
              </w:rPr>
              <w:t xml:space="preserve"> </w:t>
            </w:r>
            <w:proofErr w:type="spellStart"/>
            <w:r w:rsidRPr="00C7202C">
              <w:rPr>
                <w:rFonts w:asciiTheme="majorBidi" w:hAnsiTheme="majorBidi" w:cstheme="majorBidi"/>
              </w:rPr>
              <w:t>dipivoxil</w:t>
            </w:r>
            <w:proofErr w:type="spellEnd"/>
            <w:r w:rsidRPr="00C7202C">
              <w:rPr>
                <w:rFonts w:asciiTheme="majorBidi" w:hAnsiTheme="majorBidi" w:cstheme="majorBidi"/>
              </w:rPr>
              <w:t>.</w:t>
            </w:r>
          </w:p>
          <w:p w:rsidR="0018755D" w:rsidRPr="00C7202C" w:rsidRDefault="0018755D" w:rsidP="00C7202C">
            <w:pPr>
              <w:autoSpaceDE w:val="0"/>
              <w:autoSpaceDN w:val="0"/>
              <w:adjustRightInd w:val="0"/>
              <w:jc w:val="right"/>
              <w:rPr>
                <w:rFonts w:ascii="TimesNewRomanPSMT" w:hAnsi="TimesNewRomanPSMT"/>
                <w:b/>
                <w:bCs/>
                <w:highlight w:val="yellow"/>
              </w:rPr>
            </w:pPr>
          </w:p>
        </w:tc>
      </w:tr>
      <w:tr w:rsidR="00827313" w:rsidTr="00827313">
        <w:tc>
          <w:tcPr>
            <w:tcW w:w="2409" w:type="dxa"/>
          </w:tcPr>
          <w:p w:rsidR="00827313" w:rsidRDefault="00827313" w:rsidP="00220698">
            <w:pPr>
              <w:jc w:val="right"/>
              <w:rPr>
                <w:rFonts w:asciiTheme="majorBidi" w:hAnsiTheme="majorBidi" w:cstheme="majorBidi"/>
                <w:b/>
                <w:bCs/>
                <w:rtl/>
              </w:rPr>
            </w:pPr>
            <w:r>
              <w:rPr>
                <w:rFonts w:asciiTheme="majorBidi" w:hAnsiTheme="majorBidi" w:cstheme="majorBidi"/>
                <w:b/>
                <w:bCs/>
              </w:rPr>
              <w:t>4.</w:t>
            </w:r>
            <w:r w:rsidR="00C7202C">
              <w:rPr>
                <w:rFonts w:asciiTheme="majorBidi" w:hAnsiTheme="majorBidi" w:cstheme="majorBidi"/>
                <w:b/>
                <w:bCs/>
              </w:rPr>
              <w:t xml:space="preserve">6 </w:t>
            </w:r>
            <w:r w:rsidR="00220698">
              <w:rPr>
                <w:rFonts w:asciiTheme="majorBidi" w:hAnsiTheme="majorBidi" w:cstheme="majorBidi"/>
                <w:b/>
                <w:bCs/>
              </w:rPr>
              <w:t>Pregnancy and Fertility, Lactation</w:t>
            </w:r>
          </w:p>
        </w:tc>
        <w:tc>
          <w:tcPr>
            <w:tcW w:w="3963" w:type="dxa"/>
          </w:tcPr>
          <w:p w:rsidR="00827313" w:rsidRPr="00991B17" w:rsidRDefault="00827313" w:rsidP="00827313">
            <w:pPr>
              <w:keepNext/>
              <w:keepLines/>
              <w:jc w:val="right"/>
              <w:rPr>
                <w:rFonts w:asciiTheme="majorBidi" w:hAnsiTheme="majorBidi" w:cstheme="majorBidi"/>
                <w:i/>
              </w:rPr>
            </w:pPr>
            <w:r w:rsidRPr="00991B17">
              <w:rPr>
                <w:rFonts w:asciiTheme="majorBidi" w:hAnsiTheme="majorBidi" w:cstheme="majorBidi"/>
                <w:i/>
              </w:rPr>
              <w:t>Women of childbearing potential/contraception in males and females</w:t>
            </w:r>
          </w:p>
          <w:p w:rsidR="00827313" w:rsidRPr="00991B17" w:rsidRDefault="00827313" w:rsidP="00827313">
            <w:pPr>
              <w:jc w:val="right"/>
              <w:rPr>
                <w:rFonts w:asciiTheme="majorBidi" w:hAnsiTheme="majorBidi" w:cstheme="majorBidi"/>
                <w:snapToGrid w:val="0"/>
              </w:rPr>
            </w:pPr>
            <w:r w:rsidRPr="00991B17">
              <w:rPr>
                <w:rFonts w:asciiTheme="majorBidi" w:hAnsiTheme="majorBidi" w:cstheme="majorBidi"/>
                <w:snapToGrid w:val="0"/>
              </w:rPr>
              <w:t xml:space="preserve">Given that the potential risks to developing human </w:t>
            </w:r>
            <w:proofErr w:type="spellStart"/>
            <w:r w:rsidRPr="00991B17">
              <w:rPr>
                <w:rFonts w:asciiTheme="majorBidi" w:hAnsiTheme="majorBidi" w:cstheme="majorBidi"/>
                <w:snapToGrid w:val="0"/>
              </w:rPr>
              <w:t>foetuses</w:t>
            </w:r>
            <w:proofErr w:type="spellEnd"/>
            <w:r w:rsidRPr="00991B17">
              <w:rPr>
                <w:rFonts w:asciiTheme="majorBidi" w:hAnsiTheme="majorBidi" w:cstheme="majorBidi"/>
                <w:snapToGrid w:val="0"/>
              </w:rPr>
              <w:t xml:space="preserve"> are unknown, the use of </w:t>
            </w:r>
            <w:proofErr w:type="spellStart"/>
            <w:r w:rsidRPr="00991B17">
              <w:rPr>
                <w:rFonts w:asciiTheme="majorBidi" w:hAnsiTheme="majorBidi" w:cstheme="majorBidi"/>
              </w:rPr>
              <w:t>tenofovir</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disoproxil</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fumarate</w:t>
            </w:r>
            <w:proofErr w:type="spellEnd"/>
            <w:r w:rsidRPr="00991B17">
              <w:rPr>
                <w:rFonts w:asciiTheme="majorBidi" w:hAnsiTheme="majorBidi" w:cstheme="majorBidi"/>
                <w:snapToGrid w:val="0"/>
              </w:rPr>
              <w:t xml:space="preserve"> in women of childbearing potential must be accompanied by the use of effective contraception.</w:t>
            </w:r>
          </w:p>
          <w:p w:rsidR="00827313" w:rsidRPr="00991B17" w:rsidRDefault="00827313" w:rsidP="00827313">
            <w:pPr>
              <w:jc w:val="right"/>
              <w:rPr>
                <w:rFonts w:asciiTheme="majorBidi" w:hAnsiTheme="majorBidi" w:cstheme="majorBidi"/>
              </w:rPr>
            </w:pPr>
          </w:p>
          <w:p w:rsidR="00827313" w:rsidRPr="00991B17" w:rsidRDefault="00827313" w:rsidP="00827313">
            <w:pPr>
              <w:jc w:val="right"/>
              <w:rPr>
                <w:rFonts w:asciiTheme="majorBidi" w:hAnsiTheme="majorBidi" w:cstheme="majorBidi"/>
                <w:i/>
              </w:rPr>
            </w:pPr>
            <w:r w:rsidRPr="00991B17">
              <w:rPr>
                <w:rFonts w:asciiTheme="majorBidi" w:hAnsiTheme="majorBidi" w:cstheme="majorBidi"/>
                <w:i/>
              </w:rPr>
              <w:t>Pregnancy</w:t>
            </w:r>
          </w:p>
          <w:p w:rsidR="00827313" w:rsidRPr="00991B17" w:rsidRDefault="00827313" w:rsidP="00827313">
            <w:pPr>
              <w:jc w:val="right"/>
              <w:rPr>
                <w:rFonts w:asciiTheme="majorBidi" w:hAnsiTheme="majorBidi" w:cstheme="majorBidi"/>
              </w:rPr>
            </w:pPr>
            <w:r w:rsidRPr="00991B17">
              <w:rPr>
                <w:rFonts w:asciiTheme="majorBidi" w:hAnsiTheme="majorBidi" w:cstheme="majorBidi"/>
              </w:rPr>
              <w:t xml:space="preserve">For </w:t>
            </w:r>
            <w:proofErr w:type="spellStart"/>
            <w:r w:rsidRPr="00991B17">
              <w:rPr>
                <w:rFonts w:asciiTheme="majorBidi" w:hAnsiTheme="majorBidi" w:cstheme="majorBidi"/>
              </w:rPr>
              <w:t>tenofovir</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disoproxil</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fumarate</w:t>
            </w:r>
            <w:proofErr w:type="spellEnd"/>
            <w:r w:rsidRPr="00991B17">
              <w:rPr>
                <w:rFonts w:asciiTheme="majorBidi" w:hAnsiTheme="majorBidi" w:cstheme="majorBidi"/>
              </w:rPr>
              <w:t xml:space="preserve"> limited clinical data on exposed pregnancies are available.</w:t>
            </w:r>
          </w:p>
          <w:p w:rsidR="00827313" w:rsidRDefault="00827313" w:rsidP="00827313">
            <w:pPr>
              <w:jc w:val="right"/>
              <w:rPr>
                <w:rFonts w:asciiTheme="majorBidi" w:hAnsiTheme="majorBidi" w:cstheme="majorBidi"/>
                <w:rtl/>
              </w:rPr>
            </w:pPr>
          </w:p>
          <w:p w:rsidR="006E3D63" w:rsidRDefault="006E3D63" w:rsidP="00827313">
            <w:pPr>
              <w:jc w:val="right"/>
              <w:rPr>
                <w:rFonts w:asciiTheme="majorBidi" w:hAnsiTheme="majorBidi" w:cstheme="majorBidi"/>
                <w:rtl/>
              </w:rPr>
            </w:pPr>
          </w:p>
          <w:p w:rsidR="006E3D63" w:rsidRDefault="006E3D63" w:rsidP="00827313">
            <w:pPr>
              <w:jc w:val="right"/>
              <w:rPr>
                <w:rFonts w:asciiTheme="majorBidi" w:hAnsiTheme="majorBidi" w:cstheme="majorBidi"/>
                <w:rtl/>
              </w:rPr>
            </w:pPr>
          </w:p>
          <w:p w:rsidR="006E3D63" w:rsidRDefault="006E3D63" w:rsidP="00827313">
            <w:pPr>
              <w:jc w:val="right"/>
              <w:rPr>
                <w:rFonts w:asciiTheme="majorBidi" w:hAnsiTheme="majorBidi" w:cstheme="majorBidi"/>
                <w:rtl/>
              </w:rPr>
            </w:pPr>
          </w:p>
          <w:p w:rsidR="006E3D63" w:rsidRDefault="006E3D63" w:rsidP="00827313">
            <w:pPr>
              <w:jc w:val="right"/>
              <w:rPr>
                <w:rFonts w:asciiTheme="majorBidi" w:hAnsiTheme="majorBidi" w:cstheme="majorBidi"/>
                <w:rtl/>
              </w:rPr>
            </w:pPr>
          </w:p>
          <w:p w:rsidR="006E3D63" w:rsidRDefault="006E3D63" w:rsidP="00827313">
            <w:pPr>
              <w:jc w:val="right"/>
              <w:rPr>
                <w:rFonts w:asciiTheme="majorBidi" w:hAnsiTheme="majorBidi" w:cstheme="majorBidi"/>
                <w:rtl/>
              </w:rPr>
            </w:pPr>
          </w:p>
          <w:p w:rsidR="006E3D63" w:rsidRPr="00991B17" w:rsidRDefault="006E3D63" w:rsidP="006E3D63">
            <w:pPr>
              <w:rPr>
                <w:rFonts w:asciiTheme="majorBidi" w:hAnsiTheme="majorBidi" w:cstheme="majorBidi"/>
              </w:rPr>
            </w:pPr>
          </w:p>
          <w:p w:rsidR="00827313" w:rsidRPr="00991B17" w:rsidRDefault="00827313" w:rsidP="00827313">
            <w:pPr>
              <w:jc w:val="right"/>
              <w:rPr>
                <w:rFonts w:asciiTheme="majorBidi" w:hAnsiTheme="majorBidi" w:cstheme="majorBidi"/>
                <w:snapToGrid w:val="0"/>
              </w:rPr>
            </w:pPr>
            <w:r w:rsidRPr="00991B17">
              <w:rPr>
                <w:rFonts w:asciiTheme="majorBidi" w:hAnsiTheme="majorBidi" w:cstheme="majorBidi"/>
                <w:snapToGrid w:val="0"/>
              </w:rPr>
              <w:t xml:space="preserve">Animal studies do not indicate direct or indirect harmful effects of </w:t>
            </w:r>
            <w:proofErr w:type="spellStart"/>
            <w:r w:rsidRPr="00991B17">
              <w:rPr>
                <w:rFonts w:asciiTheme="majorBidi" w:hAnsiTheme="majorBidi" w:cstheme="majorBidi"/>
                <w:snapToGrid w:val="0"/>
              </w:rPr>
              <w:t>tenofovir</w:t>
            </w:r>
            <w:proofErr w:type="spellEnd"/>
            <w:r w:rsidRPr="00991B17">
              <w:rPr>
                <w:rFonts w:asciiTheme="majorBidi" w:hAnsiTheme="majorBidi" w:cstheme="majorBidi"/>
                <w:snapToGrid w:val="0"/>
              </w:rPr>
              <w:t xml:space="preserve"> </w:t>
            </w:r>
            <w:proofErr w:type="spellStart"/>
            <w:r w:rsidRPr="00991B17">
              <w:rPr>
                <w:rFonts w:asciiTheme="majorBidi" w:hAnsiTheme="majorBidi" w:cstheme="majorBidi"/>
                <w:snapToGrid w:val="0"/>
              </w:rPr>
              <w:t>disoproxil</w:t>
            </w:r>
            <w:proofErr w:type="spellEnd"/>
            <w:r w:rsidRPr="00991B17">
              <w:rPr>
                <w:rFonts w:asciiTheme="majorBidi" w:hAnsiTheme="majorBidi" w:cstheme="majorBidi"/>
                <w:snapToGrid w:val="0"/>
              </w:rPr>
              <w:t xml:space="preserve"> </w:t>
            </w:r>
            <w:proofErr w:type="spellStart"/>
            <w:r w:rsidRPr="00991B17">
              <w:rPr>
                <w:rFonts w:asciiTheme="majorBidi" w:hAnsiTheme="majorBidi" w:cstheme="majorBidi"/>
                <w:snapToGrid w:val="0"/>
              </w:rPr>
              <w:t>fumarate</w:t>
            </w:r>
            <w:proofErr w:type="spellEnd"/>
            <w:r w:rsidRPr="00991B17">
              <w:rPr>
                <w:rFonts w:asciiTheme="majorBidi" w:hAnsiTheme="majorBidi" w:cstheme="majorBidi"/>
                <w:snapToGrid w:val="0"/>
              </w:rPr>
              <w:t xml:space="preserve"> with respect to pregnancy, </w:t>
            </w:r>
            <w:proofErr w:type="spellStart"/>
            <w:r w:rsidRPr="00991B17">
              <w:rPr>
                <w:rFonts w:asciiTheme="majorBidi" w:hAnsiTheme="majorBidi" w:cstheme="majorBidi"/>
                <w:snapToGrid w:val="0"/>
              </w:rPr>
              <w:t>foetal</w:t>
            </w:r>
            <w:proofErr w:type="spellEnd"/>
            <w:r w:rsidRPr="00991B17">
              <w:rPr>
                <w:rFonts w:asciiTheme="majorBidi" w:hAnsiTheme="majorBidi" w:cstheme="majorBidi"/>
                <w:snapToGrid w:val="0"/>
              </w:rPr>
              <w:t xml:space="preserve"> development, parturition or postnatal development (see section 5.3).</w:t>
            </w:r>
          </w:p>
          <w:p w:rsidR="00827313" w:rsidRDefault="00827313" w:rsidP="00827313">
            <w:pPr>
              <w:jc w:val="right"/>
              <w:rPr>
                <w:rFonts w:asciiTheme="majorBidi" w:hAnsiTheme="majorBidi" w:cstheme="majorBidi"/>
                <w:snapToGrid w:val="0"/>
                <w:rtl/>
              </w:rPr>
            </w:pPr>
          </w:p>
          <w:p w:rsidR="00FE0621" w:rsidRDefault="00FE0621" w:rsidP="00827313">
            <w:pPr>
              <w:jc w:val="right"/>
              <w:rPr>
                <w:rFonts w:asciiTheme="majorBidi" w:hAnsiTheme="majorBidi" w:cstheme="majorBidi"/>
                <w:snapToGrid w:val="0"/>
                <w:rtl/>
              </w:rPr>
            </w:pPr>
          </w:p>
          <w:p w:rsidR="00FE0621" w:rsidRDefault="00FE0621" w:rsidP="00827313">
            <w:pPr>
              <w:jc w:val="right"/>
              <w:rPr>
                <w:rFonts w:asciiTheme="majorBidi" w:hAnsiTheme="majorBidi" w:cstheme="majorBidi"/>
                <w:snapToGrid w:val="0"/>
                <w:rtl/>
              </w:rPr>
            </w:pPr>
          </w:p>
          <w:p w:rsidR="00FE0621" w:rsidRPr="00991B17" w:rsidRDefault="00FE0621" w:rsidP="00827313">
            <w:pPr>
              <w:jc w:val="right"/>
              <w:rPr>
                <w:rFonts w:asciiTheme="majorBidi" w:hAnsiTheme="majorBidi" w:cstheme="majorBidi"/>
                <w:snapToGrid w:val="0"/>
              </w:rPr>
            </w:pPr>
          </w:p>
          <w:p w:rsidR="00827313" w:rsidRPr="00991B17" w:rsidRDefault="00827313" w:rsidP="00827313">
            <w:pPr>
              <w:jc w:val="right"/>
              <w:rPr>
                <w:rFonts w:asciiTheme="majorBidi" w:hAnsiTheme="majorBidi" w:cstheme="majorBidi"/>
                <w:snapToGrid w:val="0"/>
              </w:rPr>
            </w:pPr>
            <w:proofErr w:type="spellStart"/>
            <w:r w:rsidRPr="00991B17">
              <w:rPr>
                <w:rFonts w:asciiTheme="majorBidi" w:hAnsiTheme="majorBidi" w:cstheme="majorBidi"/>
                <w:snapToGrid w:val="0"/>
              </w:rPr>
              <w:t>Tenofovir</w:t>
            </w:r>
            <w:proofErr w:type="spellEnd"/>
            <w:r w:rsidRPr="00991B17">
              <w:rPr>
                <w:rFonts w:asciiTheme="majorBidi" w:hAnsiTheme="majorBidi" w:cstheme="majorBidi"/>
                <w:snapToGrid w:val="0"/>
              </w:rPr>
              <w:t xml:space="preserve"> </w:t>
            </w:r>
            <w:proofErr w:type="spellStart"/>
            <w:r w:rsidRPr="00991B17">
              <w:rPr>
                <w:rFonts w:asciiTheme="majorBidi" w:hAnsiTheme="majorBidi" w:cstheme="majorBidi"/>
                <w:snapToGrid w:val="0"/>
              </w:rPr>
              <w:t>disoproxil</w:t>
            </w:r>
            <w:proofErr w:type="spellEnd"/>
            <w:r w:rsidRPr="00991B17">
              <w:rPr>
                <w:rFonts w:asciiTheme="majorBidi" w:hAnsiTheme="majorBidi" w:cstheme="majorBidi"/>
                <w:snapToGrid w:val="0"/>
              </w:rPr>
              <w:t xml:space="preserve"> </w:t>
            </w:r>
            <w:proofErr w:type="spellStart"/>
            <w:r w:rsidRPr="00991B17">
              <w:rPr>
                <w:rFonts w:asciiTheme="majorBidi" w:hAnsiTheme="majorBidi" w:cstheme="majorBidi"/>
                <w:snapToGrid w:val="0"/>
              </w:rPr>
              <w:t>fumarate</w:t>
            </w:r>
            <w:proofErr w:type="spellEnd"/>
            <w:r w:rsidRPr="00991B17">
              <w:rPr>
                <w:rFonts w:asciiTheme="majorBidi" w:hAnsiTheme="majorBidi" w:cstheme="majorBidi"/>
                <w:snapToGrid w:val="0"/>
              </w:rPr>
              <w:t xml:space="preserve"> should be used during pregnancy only if the potential benefit justifies the potential risk to the </w:t>
            </w:r>
            <w:proofErr w:type="spellStart"/>
            <w:r w:rsidRPr="00991B17">
              <w:rPr>
                <w:rFonts w:asciiTheme="majorBidi" w:hAnsiTheme="majorBidi" w:cstheme="majorBidi"/>
                <w:snapToGrid w:val="0"/>
              </w:rPr>
              <w:t>foetus</w:t>
            </w:r>
            <w:proofErr w:type="spellEnd"/>
            <w:r w:rsidRPr="00991B17">
              <w:rPr>
                <w:rFonts w:asciiTheme="majorBidi" w:hAnsiTheme="majorBidi" w:cstheme="majorBidi"/>
                <w:snapToGrid w:val="0"/>
              </w:rPr>
              <w:t>.</w:t>
            </w:r>
          </w:p>
          <w:p w:rsidR="00827313" w:rsidRPr="00991B17" w:rsidRDefault="00827313" w:rsidP="00827313">
            <w:pPr>
              <w:jc w:val="right"/>
              <w:rPr>
                <w:rFonts w:asciiTheme="majorBidi" w:hAnsiTheme="majorBidi" w:cstheme="majorBidi"/>
                <w:snapToGrid w:val="0"/>
                <w:vertAlign w:val="superscript"/>
              </w:rPr>
            </w:pPr>
          </w:p>
          <w:p w:rsidR="00827313" w:rsidRPr="00991B17" w:rsidRDefault="00827313" w:rsidP="00827313">
            <w:pPr>
              <w:rPr>
                <w:rFonts w:asciiTheme="majorBidi" w:hAnsiTheme="majorBidi" w:cstheme="majorBidi"/>
                <w:rtl/>
              </w:rPr>
            </w:pPr>
          </w:p>
        </w:tc>
        <w:tc>
          <w:tcPr>
            <w:tcW w:w="3834" w:type="dxa"/>
          </w:tcPr>
          <w:p w:rsidR="00827313" w:rsidRPr="004809B1" w:rsidRDefault="00827313" w:rsidP="00827313">
            <w:pPr>
              <w:keepNext/>
              <w:keepLines/>
              <w:jc w:val="right"/>
              <w:rPr>
                <w:rFonts w:asciiTheme="majorBidi" w:hAnsiTheme="majorBidi" w:cstheme="majorBidi"/>
                <w:i/>
                <w:strike/>
                <w:highlight w:val="green"/>
              </w:rPr>
            </w:pPr>
            <w:r w:rsidRPr="004809B1">
              <w:rPr>
                <w:rFonts w:asciiTheme="majorBidi" w:hAnsiTheme="majorBidi" w:cstheme="majorBidi"/>
                <w:i/>
                <w:strike/>
                <w:highlight w:val="green"/>
              </w:rPr>
              <w:t>Women of childbearing potential/contraception in males and females</w:t>
            </w:r>
          </w:p>
          <w:p w:rsidR="00827313" w:rsidRPr="004809B1" w:rsidRDefault="00827313" w:rsidP="00827313">
            <w:pPr>
              <w:jc w:val="right"/>
              <w:rPr>
                <w:rFonts w:asciiTheme="majorBidi" w:hAnsiTheme="majorBidi" w:cstheme="majorBidi"/>
                <w:strike/>
                <w:snapToGrid w:val="0"/>
              </w:rPr>
            </w:pPr>
            <w:r w:rsidRPr="004809B1">
              <w:rPr>
                <w:rFonts w:asciiTheme="majorBidi" w:hAnsiTheme="majorBidi" w:cstheme="majorBidi"/>
                <w:strike/>
                <w:snapToGrid w:val="0"/>
                <w:highlight w:val="green"/>
              </w:rPr>
              <w:t xml:space="preserve">Given that the potential risks to developing human </w:t>
            </w:r>
            <w:proofErr w:type="spellStart"/>
            <w:r w:rsidRPr="004809B1">
              <w:rPr>
                <w:rFonts w:asciiTheme="majorBidi" w:hAnsiTheme="majorBidi" w:cstheme="majorBidi"/>
                <w:strike/>
                <w:snapToGrid w:val="0"/>
                <w:highlight w:val="green"/>
              </w:rPr>
              <w:t>foetuses</w:t>
            </w:r>
            <w:proofErr w:type="spellEnd"/>
            <w:r w:rsidRPr="004809B1">
              <w:rPr>
                <w:rFonts w:asciiTheme="majorBidi" w:hAnsiTheme="majorBidi" w:cstheme="majorBidi"/>
                <w:strike/>
                <w:snapToGrid w:val="0"/>
                <w:highlight w:val="green"/>
              </w:rPr>
              <w:t xml:space="preserve"> are unknown, the use of </w:t>
            </w:r>
            <w:proofErr w:type="spellStart"/>
            <w:r w:rsidRPr="004809B1">
              <w:rPr>
                <w:rFonts w:asciiTheme="majorBidi" w:hAnsiTheme="majorBidi" w:cstheme="majorBidi"/>
                <w:strike/>
                <w:highlight w:val="green"/>
              </w:rPr>
              <w:t>tenofovir</w:t>
            </w:r>
            <w:proofErr w:type="spellEnd"/>
            <w:r w:rsidRPr="004809B1">
              <w:rPr>
                <w:rFonts w:asciiTheme="majorBidi" w:hAnsiTheme="majorBidi" w:cstheme="majorBidi"/>
                <w:strike/>
                <w:highlight w:val="green"/>
              </w:rPr>
              <w:t xml:space="preserve"> </w:t>
            </w:r>
            <w:proofErr w:type="spellStart"/>
            <w:r w:rsidRPr="004809B1">
              <w:rPr>
                <w:rFonts w:asciiTheme="majorBidi" w:hAnsiTheme="majorBidi" w:cstheme="majorBidi"/>
                <w:strike/>
                <w:highlight w:val="green"/>
              </w:rPr>
              <w:t>disoproxil</w:t>
            </w:r>
            <w:proofErr w:type="spellEnd"/>
            <w:r w:rsidRPr="004809B1">
              <w:rPr>
                <w:rFonts w:asciiTheme="majorBidi" w:hAnsiTheme="majorBidi" w:cstheme="majorBidi"/>
                <w:strike/>
                <w:highlight w:val="green"/>
              </w:rPr>
              <w:t xml:space="preserve"> </w:t>
            </w:r>
            <w:proofErr w:type="spellStart"/>
            <w:r w:rsidRPr="004809B1">
              <w:rPr>
                <w:rFonts w:asciiTheme="majorBidi" w:hAnsiTheme="majorBidi" w:cstheme="majorBidi"/>
                <w:strike/>
                <w:highlight w:val="green"/>
              </w:rPr>
              <w:t>fumarate</w:t>
            </w:r>
            <w:proofErr w:type="spellEnd"/>
            <w:r w:rsidRPr="004809B1">
              <w:rPr>
                <w:rFonts w:asciiTheme="majorBidi" w:hAnsiTheme="majorBidi" w:cstheme="majorBidi"/>
                <w:strike/>
                <w:snapToGrid w:val="0"/>
                <w:highlight w:val="green"/>
              </w:rPr>
              <w:t xml:space="preserve"> in women of childbearing potential must be accompanied by the use of effective contraception.</w:t>
            </w:r>
          </w:p>
          <w:p w:rsidR="00827313" w:rsidRPr="00991B17" w:rsidRDefault="00827313" w:rsidP="00827313">
            <w:pPr>
              <w:jc w:val="right"/>
              <w:rPr>
                <w:rFonts w:asciiTheme="majorBidi" w:hAnsiTheme="majorBidi" w:cstheme="majorBidi"/>
              </w:rPr>
            </w:pPr>
          </w:p>
          <w:p w:rsidR="00827313" w:rsidRPr="00991B17" w:rsidRDefault="00827313" w:rsidP="00827313">
            <w:pPr>
              <w:jc w:val="right"/>
              <w:rPr>
                <w:rFonts w:asciiTheme="majorBidi" w:hAnsiTheme="majorBidi" w:cstheme="majorBidi"/>
                <w:i/>
              </w:rPr>
            </w:pPr>
            <w:r w:rsidRPr="00991B17">
              <w:rPr>
                <w:rFonts w:asciiTheme="majorBidi" w:hAnsiTheme="majorBidi" w:cstheme="majorBidi"/>
                <w:i/>
              </w:rPr>
              <w:t>Pregnancy</w:t>
            </w:r>
          </w:p>
          <w:p w:rsidR="00827313" w:rsidRPr="00991B17" w:rsidRDefault="00827313" w:rsidP="00827313">
            <w:pPr>
              <w:jc w:val="right"/>
              <w:rPr>
                <w:rFonts w:asciiTheme="majorBidi" w:hAnsiTheme="majorBidi" w:cstheme="majorBidi"/>
                <w:rtl/>
              </w:rPr>
            </w:pPr>
            <w:r w:rsidRPr="004809B1">
              <w:rPr>
                <w:rFonts w:asciiTheme="majorBidi" w:hAnsiTheme="majorBidi" w:cstheme="majorBidi"/>
                <w:strike/>
                <w:highlight w:val="green"/>
              </w:rPr>
              <w:t>For</w:t>
            </w:r>
            <w:r w:rsidRPr="00991B17">
              <w:rPr>
                <w:rFonts w:asciiTheme="majorBidi" w:hAnsiTheme="majorBidi" w:cstheme="majorBidi"/>
              </w:rPr>
              <w:t xml:space="preserve"> </w:t>
            </w:r>
            <w:r w:rsidRPr="00960207">
              <w:rPr>
                <w:rFonts w:ascii="TimesNewRomanPSMT" w:hAnsi="TimesNewRomanPSMT" w:cs="TimesNewRomanPSMT"/>
                <w:highlight w:val="yellow"/>
              </w:rPr>
              <w:t xml:space="preserve">A moderate amount of data on pregnant women (between 300-1,000 pregnancy outcomes) indicate no malformations or </w:t>
            </w:r>
            <w:proofErr w:type="spellStart"/>
            <w:r w:rsidRPr="00960207">
              <w:rPr>
                <w:rFonts w:ascii="TimesNewRomanPSMT" w:hAnsi="TimesNewRomanPSMT" w:cs="TimesNewRomanPSMT"/>
                <w:highlight w:val="yellow"/>
              </w:rPr>
              <w:t>foetal</w:t>
            </w:r>
            <w:proofErr w:type="spellEnd"/>
            <w:r w:rsidRPr="00960207">
              <w:rPr>
                <w:rFonts w:ascii="TimesNewRomanPSMT" w:hAnsi="TimesNewRomanPSMT" w:cs="TimesNewRomanPSMT"/>
                <w:highlight w:val="yellow"/>
              </w:rPr>
              <w:t xml:space="preserve">/neonatal toxicity associated </w:t>
            </w:r>
            <w:proofErr w:type="spellStart"/>
            <w:r w:rsidRPr="00960207">
              <w:rPr>
                <w:rFonts w:ascii="TimesNewRomanPSMT" w:hAnsi="TimesNewRomanPSMT" w:cs="TimesNewRomanPSMT"/>
                <w:highlight w:val="yellow"/>
              </w:rPr>
              <w:t>with</w:t>
            </w:r>
            <w:r w:rsidRPr="00960207">
              <w:rPr>
                <w:highlight w:val="yellow"/>
              </w:rPr>
              <w:t>tenofovir</w:t>
            </w:r>
            <w:proofErr w:type="spellEnd"/>
            <w:r w:rsidRPr="00960207">
              <w:rPr>
                <w:highlight w:val="yellow"/>
              </w:rPr>
              <w:t xml:space="preserve"> </w:t>
            </w:r>
            <w:proofErr w:type="spellStart"/>
            <w:r w:rsidRPr="00960207">
              <w:rPr>
                <w:highlight w:val="yellow"/>
              </w:rPr>
              <w:t>disoproxil</w:t>
            </w:r>
            <w:proofErr w:type="spellEnd"/>
            <w:r w:rsidRPr="00960207">
              <w:rPr>
                <w:highlight w:val="yellow"/>
              </w:rPr>
              <w:t xml:space="preserve"> </w:t>
            </w:r>
            <w:proofErr w:type="spellStart"/>
            <w:r w:rsidRPr="00960207">
              <w:rPr>
                <w:highlight w:val="yellow"/>
              </w:rPr>
              <w:t>fumarate</w:t>
            </w:r>
            <w:proofErr w:type="spellEnd"/>
            <w:r w:rsidRPr="00960207">
              <w:rPr>
                <w:highlight w:val="yellow"/>
              </w:rPr>
              <w:t>.</w:t>
            </w:r>
            <w:r w:rsidRPr="00704E4F">
              <w:t xml:space="preserve"> </w:t>
            </w:r>
            <w:proofErr w:type="spellStart"/>
            <w:proofErr w:type="gramStart"/>
            <w:r w:rsidRPr="00991B17">
              <w:rPr>
                <w:rFonts w:asciiTheme="majorBidi" w:hAnsiTheme="majorBidi" w:cstheme="majorBidi"/>
              </w:rPr>
              <w:t>tenofovir</w:t>
            </w:r>
            <w:proofErr w:type="spellEnd"/>
            <w:proofErr w:type="gramEnd"/>
            <w:r w:rsidRPr="00991B17">
              <w:rPr>
                <w:rFonts w:asciiTheme="majorBidi" w:hAnsiTheme="majorBidi" w:cstheme="majorBidi"/>
              </w:rPr>
              <w:t xml:space="preserve"> </w:t>
            </w:r>
            <w:proofErr w:type="spellStart"/>
            <w:r w:rsidRPr="00991B17">
              <w:rPr>
                <w:rFonts w:asciiTheme="majorBidi" w:hAnsiTheme="majorBidi" w:cstheme="majorBidi"/>
              </w:rPr>
              <w:t>disoproxil</w:t>
            </w:r>
            <w:proofErr w:type="spellEnd"/>
            <w:r w:rsidRPr="00991B17">
              <w:rPr>
                <w:rFonts w:asciiTheme="majorBidi" w:hAnsiTheme="majorBidi" w:cstheme="majorBidi"/>
              </w:rPr>
              <w:t xml:space="preserve"> </w:t>
            </w:r>
            <w:proofErr w:type="spellStart"/>
            <w:r w:rsidRPr="00991B17">
              <w:rPr>
                <w:rFonts w:asciiTheme="majorBidi" w:hAnsiTheme="majorBidi" w:cstheme="majorBidi"/>
              </w:rPr>
              <w:t>fumarate</w:t>
            </w:r>
            <w:proofErr w:type="spellEnd"/>
            <w:r w:rsidRPr="00991B17">
              <w:rPr>
                <w:rFonts w:asciiTheme="majorBidi" w:hAnsiTheme="majorBidi" w:cstheme="majorBidi"/>
              </w:rPr>
              <w:t xml:space="preserve"> </w:t>
            </w:r>
            <w:r w:rsidRPr="004809B1">
              <w:rPr>
                <w:rFonts w:asciiTheme="majorBidi" w:hAnsiTheme="majorBidi" w:cstheme="majorBidi"/>
                <w:strike/>
                <w:highlight w:val="green"/>
              </w:rPr>
              <w:t>limited clinical data on exposed pregnancies are available.</w:t>
            </w:r>
          </w:p>
          <w:p w:rsidR="00827313" w:rsidRDefault="00827313" w:rsidP="00827313">
            <w:pPr>
              <w:jc w:val="right"/>
              <w:rPr>
                <w:rFonts w:asciiTheme="majorBidi" w:hAnsiTheme="majorBidi" w:cstheme="majorBidi"/>
                <w:rtl/>
              </w:rPr>
            </w:pPr>
          </w:p>
          <w:p w:rsidR="006E3D63" w:rsidRPr="004809B1" w:rsidRDefault="006E3D63" w:rsidP="00827313">
            <w:pPr>
              <w:jc w:val="right"/>
              <w:rPr>
                <w:rFonts w:asciiTheme="majorBidi" w:hAnsiTheme="majorBidi" w:cstheme="majorBidi"/>
                <w:rtl/>
              </w:rPr>
            </w:pPr>
          </w:p>
          <w:p w:rsidR="00827313" w:rsidRPr="004809B1" w:rsidRDefault="00827313" w:rsidP="00827313">
            <w:pPr>
              <w:bidi w:val="0"/>
              <w:rPr>
                <w:rFonts w:asciiTheme="majorBidi" w:hAnsiTheme="majorBidi" w:cstheme="majorBidi"/>
                <w:snapToGrid w:val="0"/>
              </w:rPr>
            </w:pPr>
            <w:r w:rsidRPr="00991B17">
              <w:rPr>
                <w:rFonts w:asciiTheme="majorBidi" w:hAnsiTheme="majorBidi" w:cstheme="majorBidi"/>
                <w:snapToGrid w:val="0"/>
              </w:rPr>
              <w:t xml:space="preserve">Animal </w:t>
            </w:r>
            <w:r w:rsidRPr="006E3D63">
              <w:rPr>
                <w:rFonts w:asciiTheme="majorBidi" w:hAnsiTheme="majorBidi" w:cstheme="majorBidi"/>
                <w:snapToGrid w:val="0"/>
              </w:rPr>
              <w:t xml:space="preserve">studies do not </w:t>
            </w:r>
            <w:proofErr w:type="gramStart"/>
            <w:r w:rsidRPr="006E3D63">
              <w:rPr>
                <w:rFonts w:asciiTheme="majorBidi" w:hAnsiTheme="majorBidi" w:cstheme="majorBidi"/>
                <w:snapToGrid w:val="0"/>
              </w:rPr>
              <w:t>indicate</w:t>
            </w:r>
            <w:r w:rsidR="006E3D63">
              <w:rPr>
                <w:rFonts w:asciiTheme="majorBidi" w:hAnsiTheme="majorBidi" w:cstheme="majorBidi"/>
                <w:snapToGrid w:val="0"/>
              </w:rPr>
              <w:t xml:space="preserve"> </w:t>
            </w:r>
            <w:r w:rsidR="006E3D63" w:rsidRPr="00991B17">
              <w:rPr>
                <w:rFonts w:asciiTheme="majorBidi" w:hAnsiTheme="majorBidi" w:cstheme="majorBidi"/>
                <w:snapToGrid w:val="0"/>
              </w:rPr>
              <w:t xml:space="preserve"> </w:t>
            </w:r>
            <w:r w:rsidR="006E3D63" w:rsidRPr="006E3D63">
              <w:rPr>
                <w:rFonts w:asciiTheme="majorBidi" w:hAnsiTheme="majorBidi" w:cstheme="majorBidi"/>
                <w:strike/>
                <w:snapToGrid w:val="0"/>
                <w:highlight w:val="green"/>
              </w:rPr>
              <w:t>direct</w:t>
            </w:r>
            <w:proofErr w:type="gramEnd"/>
            <w:r w:rsidR="006E3D63" w:rsidRPr="006E3D63">
              <w:rPr>
                <w:rFonts w:asciiTheme="majorBidi" w:hAnsiTheme="majorBidi" w:cstheme="majorBidi"/>
                <w:strike/>
                <w:snapToGrid w:val="0"/>
                <w:highlight w:val="green"/>
              </w:rPr>
              <w:t xml:space="preserve"> or indirect harmful effects</w:t>
            </w:r>
            <w:r w:rsidR="006E3D63" w:rsidRPr="006E3D63">
              <w:rPr>
                <w:rFonts w:asciiTheme="majorBidi" w:hAnsiTheme="majorBidi" w:cstheme="majorBidi"/>
                <w:snapToGrid w:val="0"/>
              </w:rPr>
              <w:t xml:space="preserve"> </w:t>
            </w:r>
            <w:r w:rsidRPr="006E3D63">
              <w:rPr>
                <w:rFonts w:asciiTheme="majorBidi" w:hAnsiTheme="majorBidi" w:cstheme="majorBidi"/>
                <w:snapToGrid w:val="0"/>
              </w:rPr>
              <w:t xml:space="preserve"> </w:t>
            </w:r>
            <w:r w:rsidRPr="004809B1">
              <w:rPr>
                <w:rFonts w:asciiTheme="majorBidi" w:hAnsiTheme="majorBidi" w:cstheme="majorBidi"/>
                <w:snapToGrid w:val="0"/>
                <w:highlight w:val="yellow"/>
              </w:rPr>
              <w:t>reproductive toxicity (see section 5.3). The use</w:t>
            </w:r>
            <w:r w:rsidRPr="004809B1">
              <w:rPr>
                <w:rFonts w:asciiTheme="majorBidi" w:hAnsiTheme="majorBidi" w:cstheme="majorBidi"/>
                <w:snapToGrid w:val="0"/>
              </w:rPr>
              <w:t xml:space="preserve"> </w:t>
            </w:r>
            <w:r w:rsidRPr="006E3D63">
              <w:rPr>
                <w:rFonts w:asciiTheme="majorBidi" w:hAnsiTheme="majorBidi" w:cstheme="majorBidi"/>
                <w:snapToGrid w:val="0"/>
              </w:rPr>
              <w:t xml:space="preserve">of </w:t>
            </w:r>
            <w:proofErr w:type="spellStart"/>
            <w:r w:rsidRPr="006E3D63">
              <w:rPr>
                <w:rFonts w:asciiTheme="majorBidi" w:hAnsiTheme="majorBidi" w:cstheme="majorBidi"/>
                <w:snapToGrid w:val="0"/>
              </w:rPr>
              <w:t>tenofovir</w:t>
            </w:r>
            <w:proofErr w:type="spellEnd"/>
            <w:r w:rsidRPr="006E3D63">
              <w:rPr>
                <w:rFonts w:asciiTheme="majorBidi" w:hAnsiTheme="majorBidi" w:cstheme="majorBidi"/>
                <w:snapToGrid w:val="0"/>
              </w:rPr>
              <w:t xml:space="preserve"> </w:t>
            </w:r>
            <w:proofErr w:type="spellStart"/>
            <w:r w:rsidRPr="006E3D63">
              <w:rPr>
                <w:rFonts w:asciiTheme="majorBidi" w:hAnsiTheme="majorBidi" w:cstheme="majorBidi"/>
                <w:snapToGrid w:val="0"/>
              </w:rPr>
              <w:t>disoproxil</w:t>
            </w:r>
            <w:proofErr w:type="spellEnd"/>
            <w:r w:rsidRPr="006E3D63">
              <w:rPr>
                <w:rFonts w:asciiTheme="majorBidi" w:hAnsiTheme="majorBidi" w:cstheme="majorBidi"/>
                <w:snapToGrid w:val="0"/>
              </w:rPr>
              <w:t xml:space="preserve"> </w:t>
            </w:r>
            <w:proofErr w:type="spellStart"/>
            <w:r w:rsidRPr="006E3D63">
              <w:rPr>
                <w:rFonts w:asciiTheme="majorBidi" w:hAnsiTheme="majorBidi" w:cstheme="majorBidi"/>
                <w:snapToGrid w:val="0"/>
              </w:rPr>
              <w:t>fumarate</w:t>
            </w:r>
            <w:proofErr w:type="spellEnd"/>
            <w:r w:rsidRPr="006E3D63">
              <w:rPr>
                <w:rFonts w:asciiTheme="majorBidi" w:hAnsiTheme="majorBidi" w:cstheme="majorBidi"/>
                <w:snapToGrid w:val="0"/>
              </w:rPr>
              <w:t xml:space="preserve"> </w:t>
            </w:r>
            <w:r w:rsidRPr="004809B1">
              <w:rPr>
                <w:rFonts w:asciiTheme="majorBidi" w:hAnsiTheme="majorBidi" w:cstheme="majorBidi"/>
                <w:snapToGrid w:val="0"/>
                <w:highlight w:val="yellow"/>
              </w:rPr>
              <w:t xml:space="preserve">may be considered </w:t>
            </w:r>
            <w:r w:rsidRPr="00FE0621">
              <w:rPr>
                <w:rFonts w:asciiTheme="majorBidi" w:hAnsiTheme="majorBidi" w:cstheme="majorBidi"/>
                <w:snapToGrid w:val="0"/>
              </w:rPr>
              <w:t xml:space="preserve">during pregnancy if </w:t>
            </w:r>
            <w:r w:rsidRPr="004809B1">
              <w:rPr>
                <w:rFonts w:asciiTheme="majorBidi" w:hAnsiTheme="majorBidi" w:cstheme="majorBidi"/>
                <w:snapToGrid w:val="0"/>
                <w:highlight w:val="yellow"/>
              </w:rPr>
              <w:t>necessary</w:t>
            </w:r>
            <w:r w:rsidRPr="004809B1">
              <w:rPr>
                <w:rFonts w:asciiTheme="majorBidi" w:hAnsiTheme="majorBidi" w:cstheme="majorBidi"/>
                <w:snapToGrid w:val="0"/>
              </w:rPr>
              <w:t>.</w:t>
            </w:r>
          </w:p>
          <w:p w:rsidR="00FE0621" w:rsidRPr="00FE0621" w:rsidRDefault="00FE0621" w:rsidP="00FE0621">
            <w:pPr>
              <w:jc w:val="right"/>
              <w:rPr>
                <w:rFonts w:asciiTheme="majorBidi" w:hAnsiTheme="majorBidi" w:cstheme="majorBidi"/>
                <w:strike/>
                <w:snapToGrid w:val="0"/>
              </w:rPr>
            </w:pPr>
            <w:proofErr w:type="gramStart"/>
            <w:r w:rsidRPr="00FE0621">
              <w:rPr>
                <w:rFonts w:asciiTheme="majorBidi" w:hAnsiTheme="majorBidi" w:cstheme="majorBidi"/>
                <w:strike/>
                <w:snapToGrid w:val="0"/>
                <w:highlight w:val="green"/>
              </w:rPr>
              <w:t>with</w:t>
            </w:r>
            <w:proofErr w:type="gramEnd"/>
            <w:r w:rsidRPr="00FE0621">
              <w:rPr>
                <w:rFonts w:asciiTheme="majorBidi" w:hAnsiTheme="majorBidi" w:cstheme="majorBidi"/>
                <w:strike/>
                <w:snapToGrid w:val="0"/>
                <w:highlight w:val="green"/>
              </w:rPr>
              <w:t xml:space="preserve"> respect to pregnancy, </w:t>
            </w:r>
            <w:proofErr w:type="spellStart"/>
            <w:r w:rsidRPr="00FE0621">
              <w:rPr>
                <w:rFonts w:asciiTheme="majorBidi" w:hAnsiTheme="majorBidi" w:cstheme="majorBidi"/>
                <w:strike/>
                <w:snapToGrid w:val="0"/>
                <w:highlight w:val="green"/>
              </w:rPr>
              <w:t>foetal</w:t>
            </w:r>
            <w:proofErr w:type="spellEnd"/>
            <w:r w:rsidRPr="00FE0621">
              <w:rPr>
                <w:rFonts w:asciiTheme="majorBidi" w:hAnsiTheme="majorBidi" w:cstheme="majorBidi"/>
                <w:strike/>
                <w:snapToGrid w:val="0"/>
                <w:highlight w:val="green"/>
              </w:rPr>
              <w:t xml:space="preserve"> development, parturition or postnatal development (see section 5.3).</w:t>
            </w:r>
          </w:p>
          <w:p w:rsidR="006E3D63" w:rsidRPr="00FE0621" w:rsidRDefault="006E3D63" w:rsidP="00827313">
            <w:pPr>
              <w:jc w:val="right"/>
              <w:rPr>
                <w:rFonts w:asciiTheme="majorBidi" w:hAnsiTheme="majorBidi" w:cstheme="majorBidi"/>
                <w:snapToGrid w:val="0"/>
              </w:rPr>
            </w:pPr>
          </w:p>
          <w:p w:rsidR="00FE0621" w:rsidRPr="00FE0621" w:rsidRDefault="00FE0621" w:rsidP="00FE0621">
            <w:pPr>
              <w:jc w:val="right"/>
              <w:rPr>
                <w:rFonts w:asciiTheme="majorBidi" w:hAnsiTheme="majorBidi" w:cstheme="majorBidi"/>
                <w:strike/>
                <w:snapToGrid w:val="0"/>
              </w:rPr>
            </w:pPr>
            <w:proofErr w:type="spellStart"/>
            <w:r w:rsidRPr="00FE0621">
              <w:rPr>
                <w:rFonts w:asciiTheme="majorBidi" w:hAnsiTheme="majorBidi" w:cstheme="majorBidi"/>
                <w:strike/>
                <w:snapToGrid w:val="0"/>
                <w:highlight w:val="green"/>
              </w:rPr>
              <w:t>Tenofovir</w:t>
            </w:r>
            <w:proofErr w:type="spellEnd"/>
            <w:r w:rsidRPr="00FE0621">
              <w:rPr>
                <w:rFonts w:asciiTheme="majorBidi" w:hAnsiTheme="majorBidi" w:cstheme="majorBidi"/>
                <w:strike/>
                <w:snapToGrid w:val="0"/>
                <w:highlight w:val="green"/>
              </w:rPr>
              <w:t xml:space="preserve"> </w:t>
            </w:r>
            <w:proofErr w:type="spellStart"/>
            <w:r w:rsidRPr="00FE0621">
              <w:rPr>
                <w:rFonts w:asciiTheme="majorBidi" w:hAnsiTheme="majorBidi" w:cstheme="majorBidi"/>
                <w:strike/>
                <w:snapToGrid w:val="0"/>
                <w:highlight w:val="green"/>
              </w:rPr>
              <w:t>disoproxil</w:t>
            </w:r>
            <w:proofErr w:type="spellEnd"/>
            <w:r w:rsidRPr="00FE0621">
              <w:rPr>
                <w:rFonts w:asciiTheme="majorBidi" w:hAnsiTheme="majorBidi" w:cstheme="majorBidi"/>
                <w:strike/>
                <w:snapToGrid w:val="0"/>
                <w:highlight w:val="green"/>
              </w:rPr>
              <w:t xml:space="preserve"> </w:t>
            </w:r>
            <w:proofErr w:type="spellStart"/>
            <w:r w:rsidRPr="00FE0621">
              <w:rPr>
                <w:rFonts w:asciiTheme="majorBidi" w:hAnsiTheme="majorBidi" w:cstheme="majorBidi"/>
                <w:strike/>
                <w:snapToGrid w:val="0"/>
                <w:highlight w:val="green"/>
              </w:rPr>
              <w:t>fumarate</w:t>
            </w:r>
            <w:proofErr w:type="spellEnd"/>
            <w:r w:rsidRPr="00FE0621">
              <w:rPr>
                <w:rFonts w:asciiTheme="majorBidi" w:hAnsiTheme="majorBidi" w:cstheme="majorBidi"/>
                <w:strike/>
                <w:snapToGrid w:val="0"/>
                <w:highlight w:val="green"/>
              </w:rPr>
              <w:t xml:space="preserve"> should be used during pregnancy only if the potential benefit justifies the potential risk to the </w:t>
            </w:r>
            <w:proofErr w:type="spellStart"/>
            <w:r w:rsidRPr="00FE0621">
              <w:rPr>
                <w:rFonts w:asciiTheme="majorBidi" w:hAnsiTheme="majorBidi" w:cstheme="majorBidi"/>
                <w:strike/>
                <w:snapToGrid w:val="0"/>
                <w:highlight w:val="green"/>
              </w:rPr>
              <w:t>foetus</w:t>
            </w:r>
            <w:proofErr w:type="spellEnd"/>
            <w:r w:rsidRPr="00FE0621">
              <w:rPr>
                <w:rFonts w:asciiTheme="majorBidi" w:hAnsiTheme="majorBidi" w:cstheme="majorBidi"/>
                <w:strike/>
                <w:snapToGrid w:val="0"/>
                <w:highlight w:val="green"/>
              </w:rPr>
              <w:t>.</w:t>
            </w:r>
          </w:p>
          <w:p w:rsidR="006E3D63" w:rsidRPr="00FE0621" w:rsidRDefault="006E3D63" w:rsidP="00827313">
            <w:pPr>
              <w:jc w:val="right"/>
              <w:rPr>
                <w:rFonts w:asciiTheme="majorBidi" w:hAnsiTheme="majorBidi" w:cstheme="majorBidi"/>
                <w:snapToGrid w:val="0"/>
              </w:rPr>
            </w:pPr>
          </w:p>
          <w:p w:rsidR="006E3D63" w:rsidRDefault="006E3D63" w:rsidP="00827313">
            <w:pPr>
              <w:jc w:val="right"/>
              <w:rPr>
                <w:rFonts w:asciiTheme="majorBidi" w:hAnsiTheme="majorBidi" w:cstheme="majorBidi"/>
                <w:snapToGrid w:val="0"/>
              </w:rPr>
            </w:pPr>
          </w:p>
          <w:p w:rsidR="006E3D63" w:rsidRDefault="006E3D63" w:rsidP="00827313">
            <w:pPr>
              <w:jc w:val="right"/>
              <w:rPr>
                <w:rFonts w:asciiTheme="majorBidi" w:hAnsiTheme="majorBidi" w:cstheme="majorBidi"/>
                <w:snapToGrid w:val="0"/>
              </w:rPr>
            </w:pPr>
          </w:p>
          <w:p w:rsidR="00827313" w:rsidRPr="004809B1" w:rsidRDefault="00827313" w:rsidP="00FE0621">
            <w:pPr>
              <w:rPr>
                <w:rFonts w:asciiTheme="majorBidi" w:hAnsiTheme="majorBidi" w:cstheme="majorBidi"/>
                <w:rtl/>
              </w:rPr>
            </w:pPr>
          </w:p>
        </w:tc>
      </w:tr>
      <w:tr w:rsidR="00827313" w:rsidTr="00827313">
        <w:tc>
          <w:tcPr>
            <w:tcW w:w="2409" w:type="dxa"/>
          </w:tcPr>
          <w:p w:rsidR="00827313" w:rsidRPr="00BC2521" w:rsidRDefault="009559A4" w:rsidP="00827313">
            <w:pPr>
              <w:jc w:val="right"/>
              <w:rPr>
                <w:rFonts w:asciiTheme="majorBidi" w:hAnsiTheme="majorBidi" w:cstheme="majorBidi"/>
                <w:b/>
                <w:bCs/>
              </w:rPr>
            </w:pPr>
            <w:r w:rsidRPr="00BC2521">
              <w:rPr>
                <w:rFonts w:asciiTheme="majorBidi" w:hAnsiTheme="majorBidi" w:cstheme="majorBidi"/>
                <w:b/>
                <w:bCs/>
              </w:rPr>
              <w:lastRenderedPageBreak/>
              <w:t>4.8 A</w:t>
            </w:r>
            <w:r w:rsidR="00827313" w:rsidRPr="00BC2521">
              <w:rPr>
                <w:rFonts w:asciiTheme="majorBidi" w:hAnsiTheme="majorBidi" w:cstheme="majorBidi"/>
                <w:b/>
                <w:bCs/>
              </w:rPr>
              <w:t>dverse events</w:t>
            </w:r>
          </w:p>
          <w:p w:rsidR="00827313" w:rsidRPr="00BC2521" w:rsidRDefault="00827313" w:rsidP="00827313">
            <w:pPr>
              <w:jc w:val="right"/>
              <w:rPr>
                <w:rFonts w:asciiTheme="majorBidi" w:hAnsiTheme="majorBidi" w:cstheme="majorBidi"/>
                <w:b/>
                <w:bCs/>
              </w:rPr>
            </w:pPr>
          </w:p>
          <w:p w:rsidR="00827313" w:rsidRPr="00BC2521" w:rsidRDefault="00BC2521" w:rsidP="009559A4">
            <w:pPr>
              <w:jc w:val="right"/>
              <w:rPr>
                <w:rFonts w:asciiTheme="majorBidi" w:hAnsiTheme="majorBidi" w:cstheme="majorBidi"/>
                <w:b/>
                <w:bCs/>
                <w:rtl/>
              </w:rPr>
            </w:pPr>
            <w:r w:rsidRPr="00BC2521">
              <w:rPr>
                <w:rFonts w:asciiTheme="majorBidi" w:hAnsiTheme="majorBidi" w:cstheme="majorBidi"/>
                <w:b/>
                <w:bCs/>
              </w:rPr>
              <w:t>(U</w:t>
            </w:r>
            <w:r w:rsidR="00827313" w:rsidRPr="00BC2521">
              <w:rPr>
                <w:rFonts w:asciiTheme="majorBidi" w:hAnsiTheme="majorBidi" w:cstheme="majorBidi"/>
                <w:b/>
                <w:bCs/>
              </w:rPr>
              <w:t>ndesirable effects</w:t>
            </w:r>
            <w:r w:rsidRPr="00BC2521">
              <w:rPr>
                <w:rFonts w:asciiTheme="majorBidi" w:hAnsiTheme="majorBidi" w:cstheme="majorBidi"/>
                <w:b/>
                <w:bCs/>
              </w:rPr>
              <w:t xml:space="preserve"> -</w:t>
            </w:r>
            <w:r w:rsidR="00827313" w:rsidRPr="00BC2521">
              <w:rPr>
                <w:rFonts w:asciiTheme="majorBidi" w:hAnsiTheme="majorBidi" w:cstheme="majorBidi"/>
                <w:b/>
                <w:bCs/>
              </w:rPr>
              <w:t xml:space="preserve"> </w:t>
            </w:r>
          </w:p>
          <w:p w:rsidR="00827313" w:rsidRPr="00F07F53" w:rsidRDefault="00BC2521" w:rsidP="00BC2521">
            <w:pPr>
              <w:keepNext/>
              <w:keepLines/>
              <w:jc w:val="right"/>
              <w:rPr>
                <w:rFonts w:asciiTheme="majorBidi" w:hAnsiTheme="majorBidi" w:cstheme="majorBidi"/>
                <w:b/>
                <w:bCs/>
              </w:rPr>
            </w:pPr>
            <w:r w:rsidRPr="00BC2521">
              <w:rPr>
                <w:rFonts w:asciiTheme="majorBidi" w:hAnsiTheme="majorBidi" w:cstheme="majorBidi"/>
                <w:b/>
                <w:i/>
              </w:rPr>
              <w:t>Tabulated summary of adverse reactions</w:t>
            </w:r>
            <w:r>
              <w:rPr>
                <w:b/>
                <w:i/>
              </w:rPr>
              <w:t>)</w:t>
            </w:r>
          </w:p>
        </w:tc>
        <w:tc>
          <w:tcPr>
            <w:tcW w:w="3963" w:type="dxa"/>
          </w:tcPr>
          <w:p w:rsidR="00827313" w:rsidRPr="00F07F53" w:rsidRDefault="00827313" w:rsidP="00827313">
            <w:pPr>
              <w:jc w:val="right"/>
              <w:rPr>
                <w:rFonts w:asciiTheme="majorBidi" w:hAnsiTheme="majorBidi" w:cstheme="majorBidi"/>
                <w:snapToGrid w:val="0"/>
              </w:rPr>
            </w:pPr>
            <w:r w:rsidRPr="00F07F53">
              <w:rPr>
                <w:rFonts w:asciiTheme="majorBidi" w:hAnsiTheme="majorBidi" w:cstheme="majorBidi"/>
                <w:snapToGrid w:val="0"/>
              </w:rPr>
              <w:t xml:space="preserve">Continued treatment with </w:t>
            </w:r>
            <w:proofErr w:type="spellStart"/>
            <w:r w:rsidRPr="00F07F53">
              <w:rPr>
                <w:rFonts w:asciiTheme="majorBidi" w:hAnsiTheme="majorBidi" w:cstheme="majorBidi"/>
                <w:snapToGrid w:val="0"/>
              </w:rPr>
              <w:t>tenofovir</w:t>
            </w:r>
            <w:proofErr w:type="spellEnd"/>
            <w:r w:rsidRPr="00F07F53">
              <w:rPr>
                <w:rFonts w:asciiTheme="majorBidi" w:hAnsiTheme="majorBidi" w:cstheme="majorBidi"/>
                <w:snapToGrid w:val="0"/>
              </w:rPr>
              <w:t xml:space="preserve"> </w:t>
            </w:r>
            <w:proofErr w:type="spellStart"/>
            <w:r w:rsidRPr="00F07F53">
              <w:rPr>
                <w:rFonts w:asciiTheme="majorBidi" w:hAnsiTheme="majorBidi" w:cstheme="majorBidi"/>
                <w:snapToGrid w:val="0"/>
              </w:rPr>
              <w:t>disoproxil</w:t>
            </w:r>
            <w:proofErr w:type="spellEnd"/>
            <w:r w:rsidRPr="00F07F53">
              <w:rPr>
                <w:rFonts w:asciiTheme="majorBidi" w:hAnsiTheme="majorBidi" w:cstheme="majorBidi"/>
                <w:snapToGrid w:val="0"/>
              </w:rPr>
              <w:t xml:space="preserve"> </w:t>
            </w:r>
            <w:proofErr w:type="spellStart"/>
            <w:r w:rsidRPr="00F07F53">
              <w:rPr>
                <w:rFonts w:asciiTheme="majorBidi" w:hAnsiTheme="majorBidi" w:cstheme="majorBidi"/>
                <w:snapToGrid w:val="0"/>
              </w:rPr>
              <w:t>fumarate</w:t>
            </w:r>
            <w:proofErr w:type="spellEnd"/>
            <w:r w:rsidRPr="00F07F53">
              <w:rPr>
                <w:rFonts w:asciiTheme="majorBidi" w:hAnsiTheme="majorBidi" w:cstheme="majorBidi"/>
                <w:snapToGrid w:val="0"/>
              </w:rPr>
              <w:t xml:space="preserve"> for up to 144 weeks in these studies did not reveal any new adverse reactions and no change in the tolerability profile (nature or severity of adverse events).</w:t>
            </w:r>
          </w:p>
          <w:p w:rsidR="00827313" w:rsidRPr="00F07F53" w:rsidRDefault="00827313" w:rsidP="00827313">
            <w:pPr>
              <w:jc w:val="right"/>
              <w:rPr>
                <w:rFonts w:asciiTheme="majorBidi" w:hAnsiTheme="majorBidi" w:cstheme="majorBidi"/>
                <w:snapToGrid w:val="0"/>
              </w:rPr>
            </w:pPr>
          </w:p>
        </w:tc>
        <w:tc>
          <w:tcPr>
            <w:tcW w:w="3834" w:type="dxa"/>
          </w:tcPr>
          <w:p w:rsidR="00BC2521" w:rsidRPr="00BC2521" w:rsidRDefault="00BC2521" w:rsidP="00827313">
            <w:pPr>
              <w:jc w:val="right"/>
              <w:rPr>
                <w:rFonts w:asciiTheme="majorBidi" w:hAnsiTheme="majorBidi" w:cstheme="majorBidi"/>
                <w:strike/>
                <w:snapToGrid w:val="0"/>
              </w:rPr>
            </w:pPr>
            <w:r w:rsidRPr="00BC2521">
              <w:rPr>
                <w:rFonts w:asciiTheme="majorBidi" w:hAnsiTheme="majorBidi" w:cstheme="majorBidi"/>
                <w:strike/>
                <w:snapToGrid w:val="0"/>
                <w:highlight w:val="green"/>
              </w:rPr>
              <w:t xml:space="preserve">Continued treatment with </w:t>
            </w:r>
            <w:proofErr w:type="spellStart"/>
            <w:r w:rsidRPr="00BC2521">
              <w:rPr>
                <w:rFonts w:asciiTheme="majorBidi" w:hAnsiTheme="majorBidi" w:cstheme="majorBidi"/>
                <w:strike/>
                <w:snapToGrid w:val="0"/>
                <w:highlight w:val="green"/>
              </w:rPr>
              <w:t>tenofovir</w:t>
            </w:r>
            <w:proofErr w:type="spellEnd"/>
            <w:r w:rsidRPr="00BC2521">
              <w:rPr>
                <w:rFonts w:asciiTheme="majorBidi" w:hAnsiTheme="majorBidi" w:cstheme="majorBidi"/>
                <w:strike/>
                <w:snapToGrid w:val="0"/>
                <w:highlight w:val="green"/>
              </w:rPr>
              <w:t xml:space="preserve"> </w:t>
            </w:r>
            <w:proofErr w:type="spellStart"/>
            <w:r w:rsidRPr="00BC2521">
              <w:rPr>
                <w:rFonts w:asciiTheme="majorBidi" w:hAnsiTheme="majorBidi" w:cstheme="majorBidi"/>
                <w:strike/>
                <w:snapToGrid w:val="0"/>
                <w:highlight w:val="green"/>
              </w:rPr>
              <w:t>disoproxil</w:t>
            </w:r>
            <w:proofErr w:type="spellEnd"/>
            <w:r w:rsidRPr="00BC2521">
              <w:rPr>
                <w:rFonts w:asciiTheme="majorBidi" w:hAnsiTheme="majorBidi" w:cstheme="majorBidi"/>
                <w:strike/>
                <w:snapToGrid w:val="0"/>
                <w:highlight w:val="green"/>
              </w:rPr>
              <w:t xml:space="preserve"> </w:t>
            </w:r>
            <w:proofErr w:type="spellStart"/>
            <w:r w:rsidRPr="00BC2521">
              <w:rPr>
                <w:rFonts w:asciiTheme="majorBidi" w:hAnsiTheme="majorBidi" w:cstheme="majorBidi"/>
                <w:strike/>
                <w:snapToGrid w:val="0"/>
                <w:highlight w:val="green"/>
              </w:rPr>
              <w:t>fumarate</w:t>
            </w:r>
            <w:proofErr w:type="spellEnd"/>
            <w:r w:rsidRPr="00BC2521">
              <w:rPr>
                <w:rFonts w:asciiTheme="majorBidi" w:hAnsiTheme="majorBidi" w:cstheme="majorBidi"/>
                <w:strike/>
                <w:snapToGrid w:val="0"/>
                <w:highlight w:val="green"/>
              </w:rPr>
              <w:t xml:space="preserve"> for up to 144 weeks in these studies did not reveal any new</w:t>
            </w:r>
          </w:p>
          <w:p w:rsidR="00827313" w:rsidRPr="00F07F53" w:rsidRDefault="00827313" w:rsidP="005C533D">
            <w:pPr>
              <w:jc w:val="right"/>
              <w:rPr>
                <w:rFonts w:asciiTheme="majorBidi" w:hAnsiTheme="majorBidi" w:cstheme="majorBidi"/>
                <w:snapToGrid w:val="0"/>
              </w:rPr>
            </w:pPr>
            <w:r w:rsidRPr="00BC2521">
              <w:rPr>
                <w:rFonts w:asciiTheme="majorBidi" w:hAnsiTheme="majorBidi" w:cstheme="majorBidi"/>
                <w:snapToGrid w:val="0"/>
                <w:highlight w:val="yellow"/>
              </w:rPr>
              <w:t>The</w:t>
            </w:r>
            <w:r w:rsidRPr="00F07F53">
              <w:rPr>
                <w:rFonts w:asciiTheme="majorBidi" w:hAnsiTheme="majorBidi" w:cstheme="majorBidi"/>
                <w:snapToGrid w:val="0"/>
              </w:rPr>
              <w:t xml:space="preserve"> adverse reactions</w:t>
            </w:r>
            <w:r w:rsidR="005C533D" w:rsidRPr="00F07F53">
              <w:rPr>
                <w:rFonts w:asciiTheme="majorBidi" w:hAnsiTheme="majorBidi" w:cstheme="majorBidi"/>
                <w:snapToGrid w:val="0"/>
              </w:rPr>
              <w:t xml:space="preserve"> </w:t>
            </w:r>
            <w:r w:rsidR="005C533D" w:rsidRPr="005C533D">
              <w:rPr>
                <w:rFonts w:asciiTheme="majorBidi" w:hAnsiTheme="majorBidi" w:cstheme="majorBidi"/>
                <w:strike/>
                <w:snapToGrid w:val="0"/>
                <w:highlight w:val="green"/>
              </w:rPr>
              <w:t>and no change in</w:t>
            </w:r>
            <w:r w:rsidR="005C533D" w:rsidRPr="00F07F53">
              <w:rPr>
                <w:rFonts w:asciiTheme="majorBidi" w:hAnsiTheme="majorBidi" w:cstheme="majorBidi"/>
                <w:snapToGrid w:val="0"/>
              </w:rPr>
              <w:t xml:space="preserve"> </w:t>
            </w:r>
            <w:r w:rsidRPr="00F07F53">
              <w:rPr>
                <w:rFonts w:asciiTheme="majorBidi" w:hAnsiTheme="majorBidi" w:cstheme="majorBidi"/>
                <w:snapToGrid w:val="0"/>
              </w:rPr>
              <w:t xml:space="preserve"> </w:t>
            </w:r>
            <w:r w:rsidRPr="00BC2521">
              <w:rPr>
                <w:rFonts w:asciiTheme="majorBidi" w:hAnsiTheme="majorBidi" w:cstheme="majorBidi"/>
                <w:snapToGrid w:val="0"/>
                <w:highlight w:val="yellow"/>
              </w:rPr>
              <w:t xml:space="preserve">observed with continued </w:t>
            </w:r>
            <w:r w:rsidRPr="00A745DE">
              <w:rPr>
                <w:rFonts w:asciiTheme="majorBidi" w:hAnsiTheme="majorBidi" w:cstheme="majorBidi"/>
                <w:snapToGrid w:val="0"/>
                <w:highlight w:val="yellow"/>
              </w:rPr>
              <w:t xml:space="preserve">for 240 weeks </w:t>
            </w:r>
            <w:r w:rsidRPr="00BC2521">
              <w:rPr>
                <w:rFonts w:asciiTheme="majorBidi" w:hAnsiTheme="majorBidi" w:cstheme="majorBidi"/>
                <w:snapToGrid w:val="0"/>
                <w:highlight w:val="yellow"/>
              </w:rPr>
              <w:t>were consistent with</w:t>
            </w:r>
            <w:r w:rsidRPr="00F07F53">
              <w:rPr>
                <w:rFonts w:asciiTheme="majorBidi" w:hAnsiTheme="majorBidi" w:cstheme="majorBidi"/>
                <w:snapToGrid w:val="0"/>
              </w:rPr>
              <w:t xml:space="preserve"> the </w:t>
            </w:r>
            <w:r w:rsidRPr="00BC2521">
              <w:rPr>
                <w:rFonts w:asciiTheme="majorBidi" w:hAnsiTheme="majorBidi" w:cstheme="majorBidi"/>
                <w:snapToGrid w:val="0"/>
                <w:highlight w:val="yellow"/>
              </w:rPr>
              <w:t>safety</w:t>
            </w:r>
            <w:r w:rsidRPr="00F07F53">
              <w:rPr>
                <w:rFonts w:asciiTheme="majorBidi" w:hAnsiTheme="majorBidi" w:cstheme="majorBidi"/>
                <w:snapToGrid w:val="0"/>
              </w:rPr>
              <w:t xml:space="preserve"> </w:t>
            </w:r>
            <w:r w:rsidR="00BC2521" w:rsidRPr="00F07F53">
              <w:rPr>
                <w:rFonts w:asciiTheme="majorBidi" w:hAnsiTheme="majorBidi" w:cstheme="majorBidi"/>
                <w:snapToGrid w:val="0"/>
              </w:rPr>
              <w:t xml:space="preserve"> </w:t>
            </w:r>
            <w:r w:rsidR="00BC2521" w:rsidRPr="00BC2521">
              <w:rPr>
                <w:rFonts w:asciiTheme="majorBidi" w:hAnsiTheme="majorBidi" w:cstheme="majorBidi"/>
                <w:strike/>
                <w:snapToGrid w:val="0"/>
                <w:highlight w:val="green"/>
              </w:rPr>
              <w:t>tolerability</w:t>
            </w:r>
            <w:r w:rsidR="00BC2521" w:rsidRPr="00F07F53">
              <w:rPr>
                <w:rFonts w:asciiTheme="majorBidi" w:hAnsiTheme="majorBidi" w:cstheme="majorBidi"/>
                <w:snapToGrid w:val="0"/>
              </w:rPr>
              <w:t xml:space="preserve"> </w:t>
            </w:r>
            <w:r w:rsidRPr="00A745DE">
              <w:rPr>
                <w:rFonts w:asciiTheme="majorBidi" w:hAnsiTheme="majorBidi" w:cstheme="majorBidi"/>
                <w:snapToGrid w:val="0"/>
              </w:rPr>
              <w:t>profile</w:t>
            </w:r>
            <w:r w:rsidR="005C533D">
              <w:rPr>
                <w:rFonts w:asciiTheme="majorBidi" w:hAnsiTheme="majorBidi" w:cstheme="majorBidi"/>
                <w:snapToGrid w:val="0"/>
              </w:rPr>
              <w:t xml:space="preserve"> </w:t>
            </w:r>
            <w:r w:rsidR="005C533D" w:rsidRPr="005C533D">
              <w:rPr>
                <w:rFonts w:asciiTheme="majorBidi" w:hAnsiTheme="majorBidi" w:cstheme="majorBidi"/>
                <w:strike/>
                <w:snapToGrid w:val="0"/>
              </w:rPr>
              <w:t xml:space="preserve"> </w:t>
            </w:r>
            <w:r w:rsidR="005C533D" w:rsidRPr="005C533D">
              <w:rPr>
                <w:rFonts w:asciiTheme="majorBidi" w:hAnsiTheme="majorBidi" w:cstheme="majorBidi"/>
                <w:strike/>
                <w:snapToGrid w:val="0"/>
                <w:highlight w:val="green"/>
              </w:rPr>
              <w:t>(nature or severity of adverse events)</w:t>
            </w:r>
            <w:r w:rsidRPr="005C533D">
              <w:rPr>
                <w:rFonts w:asciiTheme="majorBidi" w:hAnsiTheme="majorBidi" w:cstheme="majorBidi"/>
                <w:strike/>
                <w:snapToGrid w:val="0"/>
              </w:rPr>
              <w:t xml:space="preserve"> </w:t>
            </w:r>
            <w:r w:rsidRPr="00BC2521">
              <w:rPr>
                <w:rFonts w:asciiTheme="majorBidi" w:hAnsiTheme="majorBidi" w:cstheme="majorBidi"/>
                <w:snapToGrid w:val="0"/>
                <w:highlight w:val="yellow"/>
              </w:rPr>
              <w:t xml:space="preserve">of </w:t>
            </w:r>
            <w:proofErr w:type="spellStart"/>
            <w:r w:rsidRPr="00BC2521">
              <w:rPr>
                <w:rFonts w:asciiTheme="majorBidi" w:hAnsiTheme="majorBidi" w:cstheme="majorBidi"/>
                <w:snapToGrid w:val="0"/>
                <w:highlight w:val="yellow"/>
              </w:rPr>
              <w:t>tenofovir</w:t>
            </w:r>
            <w:proofErr w:type="spellEnd"/>
            <w:r w:rsidRPr="00BC2521">
              <w:rPr>
                <w:rFonts w:asciiTheme="majorBidi" w:hAnsiTheme="majorBidi" w:cstheme="majorBidi"/>
                <w:snapToGrid w:val="0"/>
                <w:highlight w:val="yellow"/>
              </w:rPr>
              <w:t xml:space="preserve"> </w:t>
            </w:r>
            <w:proofErr w:type="spellStart"/>
            <w:r w:rsidRPr="00BC2521">
              <w:rPr>
                <w:rFonts w:asciiTheme="majorBidi" w:hAnsiTheme="majorBidi" w:cstheme="majorBidi"/>
                <w:snapToGrid w:val="0"/>
                <w:highlight w:val="yellow"/>
              </w:rPr>
              <w:t>disoproxil</w:t>
            </w:r>
            <w:proofErr w:type="spellEnd"/>
            <w:r w:rsidRPr="00BC2521">
              <w:rPr>
                <w:rFonts w:asciiTheme="majorBidi" w:hAnsiTheme="majorBidi" w:cstheme="majorBidi"/>
                <w:snapToGrid w:val="0"/>
                <w:highlight w:val="yellow"/>
              </w:rPr>
              <w:t xml:space="preserve"> </w:t>
            </w:r>
            <w:proofErr w:type="spellStart"/>
            <w:r w:rsidRPr="00BC2521">
              <w:rPr>
                <w:rFonts w:asciiTheme="majorBidi" w:hAnsiTheme="majorBidi" w:cstheme="majorBidi"/>
                <w:snapToGrid w:val="0"/>
                <w:highlight w:val="yellow"/>
              </w:rPr>
              <w:t>fumarate</w:t>
            </w:r>
            <w:proofErr w:type="spellEnd"/>
          </w:p>
        </w:tc>
      </w:tr>
      <w:tr w:rsidR="00995488" w:rsidTr="00827313">
        <w:tc>
          <w:tcPr>
            <w:tcW w:w="2409" w:type="dxa"/>
          </w:tcPr>
          <w:p w:rsidR="00995488" w:rsidRPr="00BC2521" w:rsidRDefault="00995488" w:rsidP="00827313">
            <w:pPr>
              <w:jc w:val="right"/>
              <w:rPr>
                <w:rFonts w:asciiTheme="majorBidi" w:hAnsiTheme="majorBidi" w:cstheme="majorBidi"/>
                <w:b/>
                <w:bCs/>
                <w:rtl/>
              </w:rPr>
            </w:pPr>
            <w:r>
              <w:rPr>
                <w:rFonts w:asciiTheme="majorBidi" w:hAnsiTheme="majorBidi" w:cstheme="majorBidi"/>
                <w:b/>
                <w:bCs/>
              </w:rPr>
              <w:t>4.9 Overdose</w:t>
            </w:r>
          </w:p>
        </w:tc>
        <w:tc>
          <w:tcPr>
            <w:tcW w:w="3963" w:type="dxa"/>
          </w:tcPr>
          <w:p w:rsidR="00995488" w:rsidRPr="00995488" w:rsidRDefault="00995488" w:rsidP="00995488">
            <w:pPr>
              <w:bidi w:val="0"/>
              <w:rPr>
                <w:rFonts w:asciiTheme="majorBidi" w:hAnsiTheme="majorBidi" w:cstheme="majorBidi"/>
              </w:rPr>
            </w:pPr>
            <w:r w:rsidRPr="00995488">
              <w:rPr>
                <w:rFonts w:asciiTheme="majorBidi" w:hAnsiTheme="majorBidi" w:cstheme="majorBidi"/>
              </w:rPr>
              <w:t xml:space="preserve">If overdose occurs the patient must be monitored for evidence of toxicity (see sections 4.8 and 5.3), and standard supportive treatment applied as necessary. </w:t>
            </w:r>
          </w:p>
          <w:p w:rsidR="00995488" w:rsidRDefault="00995488" w:rsidP="00827313">
            <w:pPr>
              <w:jc w:val="right"/>
              <w:rPr>
                <w:rFonts w:asciiTheme="majorBidi" w:hAnsiTheme="majorBidi" w:cstheme="majorBidi"/>
                <w:snapToGrid w:val="0"/>
                <w:rtl/>
              </w:rPr>
            </w:pPr>
          </w:p>
          <w:p w:rsidR="00995488" w:rsidRDefault="00995488" w:rsidP="00827313">
            <w:pPr>
              <w:jc w:val="right"/>
              <w:rPr>
                <w:rFonts w:asciiTheme="majorBidi" w:hAnsiTheme="majorBidi" w:cstheme="majorBidi"/>
                <w:snapToGrid w:val="0"/>
                <w:rtl/>
              </w:rPr>
            </w:pPr>
          </w:p>
          <w:p w:rsidR="00995488" w:rsidRPr="00995488" w:rsidRDefault="00995488" w:rsidP="00995488">
            <w:pPr>
              <w:jc w:val="right"/>
              <w:rPr>
                <w:rFonts w:asciiTheme="majorBidi" w:hAnsiTheme="majorBidi" w:cstheme="majorBidi"/>
                <w:color w:val="000000"/>
              </w:rPr>
            </w:pPr>
            <w:proofErr w:type="spellStart"/>
            <w:r w:rsidRPr="00995488">
              <w:rPr>
                <w:rFonts w:asciiTheme="majorBidi" w:hAnsiTheme="majorBidi" w:cstheme="majorBidi"/>
              </w:rPr>
              <w:t>Tenofovir</w:t>
            </w:r>
            <w:proofErr w:type="spellEnd"/>
            <w:r w:rsidRPr="00995488">
              <w:rPr>
                <w:rFonts w:asciiTheme="majorBidi" w:hAnsiTheme="majorBidi" w:cstheme="majorBidi"/>
              </w:rPr>
              <w:t xml:space="preserve"> can be removed by </w:t>
            </w:r>
            <w:proofErr w:type="spellStart"/>
            <w:r w:rsidRPr="00995488">
              <w:rPr>
                <w:rFonts w:asciiTheme="majorBidi" w:hAnsiTheme="majorBidi" w:cstheme="majorBidi"/>
              </w:rPr>
              <w:t>haemodialysis</w:t>
            </w:r>
            <w:proofErr w:type="spellEnd"/>
            <w:r w:rsidRPr="00995488">
              <w:rPr>
                <w:rFonts w:asciiTheme="majorBidi" w:hAnsiTheme="majorBidi" w:cstheme="majorBidi"/>
              </w:rPr>
              <w:t xml:space="preserve">; the median </w:t>
            </w:r>
            <w:proofErr w:type="spellStart"/>
            <w:r w:rsidRPr="00995488">
              <w:rPr>
                <w:rFonts w:asciiTheme="majorBidi" w:hAnsiTheme="majorBidi" w:cstheme="majorBidi"/>
              </w:rPr>
              <w:t>haemodialysis</w:t>
            </w:r>
            <w:proofErr w:type="spellEnd"/>
            <w:r w:rsidRPr="00995488">
              <w:rPr>
                <w:rFonts w:asciiTheme="majorBidi" w:hAnsiTheme="majorBidi" w:cstheme="majorBidi"/>
              </w:rPr>
              <w:t xml:space="preserve"> clearance of </w:t>
            </w:r>
            <w:proofErr w:type="spellStart"/>
            <w:r w:rsidRPr="00995488">
              <w:rPr>
                <w:rFonts w:asciiTheme="majorBidi" w:hAnsiTheme="majorBidi" w:cstheme="majorBidi"/>
              </w:rPr>
              <w:t>tenofovir</w:t>
            </w:r>
            <w:proofErr w:type="spellEnd"/>
            <w:r w:rsidRPr="00995488">
              <w:rPr>
                <w:rFonts w:asciiTheme="majorBidi" w:hAnsiTheme="majorBidi" w:cstheme="majorBidi"/>
              </w:rPr>
              <w:t xml:space="preserve"> is 134 ml/min.  The elimination of </w:t>
            </w:r>
            <w:proofErr w:type="spellStart"/>
            <w:r w:rsidRPr="00995488">
              <w:rPr>
                <w:rFonts w:asciiTheme="majorBidi" w:hAnsiTheme="majorBidi" w:cstheme="majorBidi"/>
              </w:rPr>
              <w:t>tenofovir</w:t>
            </w:r>
            <w:proofErr w:type="spellEnd"/>
            <w:r w:rsidRPr="00995488">
              <w:rPr>
                <w:rFonts w:asciiTheme="majorBidi" w:hAnsiTheme="majorBidi" w:cstheme="majorBidi"/>
              </w:rPr>
              <w:t xml:space="preserve"> by peritoneal dialysis has not been</w:t>
            </w:r>
            <w:r w:rsidRPr="00995488">
              <w:rPr>
                <w:rFonts w:asciiTheme="majorBidi" w:hAnsiTheme="majorBidi" w:cstheme="majorBidi"/>
                <w:color w:val="000000"/>
              </w:rPr>
              <w:t xml:space="preserve"> studied.</w:t>
            </w:r>
          </w:p>
          <w:p w:rsidR="00995488" w:rsidRPr="00995488" w:rsidRDefault="00995488" w:rsidP="00827313">
            <w:pPr>
              <w:jc w:val="right"/>
              <w:rPr>
                <w:rFonts w:asciiTheme="majorBidi" w:hAnsiTheme="majorBidi" w:cstheme="majorBidi"/>
                <w:snapToGrid w:val="0"/>
              </w:rPr>
            </w:pPr>
          </w:p>
        </w:tc>
        <w:tc>
          <w:tcPr>
            <w:tcW w:w="3834" w:type="dxa"/>
          </w:tcPr>
          <w:p w:rsidR="00995488" w:rsidRPr="00995488" w:rsidRDefault="00995488" w:rsidP="00995488">
            <w:pPr>
              <w:bidi w:val="0"/>
              <w:rPr>
                <w:rFonts w:asciiTheme="majorBidi" w:hAnsiTheme="majorBidi" w:cstheme="majorBidi"/>
              </w:rPr>
            </w:pPr>
            <w:r w:rsidRPr="00995488">
              <w:rPr>
                <w:rFonts w:asciiTheme="majorBidi" w:hAnsiTheme="majorBidi" w:cstheme="majorBidi"/>
              </w:rPr>
              <w:t xml:space="preserve">If overdose occurs the patient must be monitored for evidence of toxicity (see sections 4.8 and 5.3), and standard supportive treatment applied as necessary. </w:t>
            </w:r>
          </w:p>
          <w:p w:rsidR="00995488" w:rsidRPr="00995488" w:rsidRDefault="00995488" w:rsidP="00995488">
            <w:pPr>
              <w:bidi w:val="0"/>
              <w:rPr>
                <w:rFonts w:asciiTheme="majorBidi" w:hAnsiTheme="majorBidi" w:cstheme="majorBidi"/>
              </w:rPr>
            </w:pPr>
          </w:p>
          <w:p w:rsidR="00995488" w:rsidRPr="00EC016E" w:rsidRDefault="00995488" w:rsidP="00EC016E">
            <w:pPr>
              <w:bidi w:val="0"/>
              <w:rPr>
                <w:rFonts w:asciiTheme="majorBidi" w:hAnsiTheme="majorBidi" w:cstheme="majorBidi"/>
                <w:color w:val="000000"/>
              </w:rPr>
            </w:pPr>
            <w:proofErr w:type="spellStart"/>
            <w:r w:rsidRPr="00995488">
              <w:rPr>
                <w:rFonts w:asciiTheme="majorBidi" w:hAnsiTheme="majorBidi" w:cstheme="majorBidi"/>
              </w:rPr>
              <w:t>Tenofovir</w:t>
            </w:r>
            <w:proofErr w:type="spellEnd"/>
            <w:r w:rsidRPr="00995488">
              <w:rPr>
                <w:rFonts w:asciiTheme="majorBidi" w:hAnsiTheme="majorBidi" w:cstheme="majorBidi"/>
              </w:rPr>
              <w:t xml:space="preserve"> can be removed by </w:t>
            </w:r>
            <w:proofErr w:type="spellStart"/>
            <w:r w:rsidRPr="00995488">
              <w:rPr>
                <w:rFonts w:asciiTheme="majorBidi" w:hAnsiTheme="majorBidi" w:cstheme="majorBidi"/>
              </w:rPr>
              <w:t>haemodialysis</w:t>
            </w:r>
            <w:proofErr w:type="spellEnd"/>
            <w:r w:rsidRPr="00995488">
              <w:rPr>
                <w:rFonts w:asciiTheme="majorBidi" w:hAnsiTheme="majorBidi" w:cstheme="majorBidi"/>
              </w:rPr>
              <w:t xml:space="preserve">; the median </w:t>
            </w:r>
            <w:proofErr w:type="spellStart"/>
            <w:r w:rsidRPr="00995488">
              <w:rPr>
                <w:rFonts w:asciiTheme="majorBidi" w:hAnsiTheme="majorBidi" w:cstheme="majorBidi"/>
              </w:rPr>
              <w:t>haemodialysis</w:t>
            </w:r>
            <w:proofErr w:type="spellEnd"/>
            <w:r w:rsidRPr="00995488">
              <w:rPr>
                <w:rFonts w:asciiTheme="majorBidi" w:hAnsiTheme="majorBidi" w:cstheme="majorBidi"/>
              </w:rPr>
              <w:t xml:space="preserve"> clearance of </w:t>
            </w:r>
            <w:proofErr w:type="spellStart"/>
            <w:r w:rsidRPr="00995488">
              <w:rPr>
                <w:rFonts w:asciiTheme="majorBidi" w:hAnsiTheme="majorBidi" w:cstheme="majorBidi"/>
              </w:rPr>
              <w:t>tenofovir</w:t>
            </w:r>
            <w:proofErr w:type="spellEnd"/>
            <w:r w:rsidRPr="00995488">
              <w:rPr>
                <w:rFonts w:asciiTheme="majorBidi" w:hAnsiTheme="majorBidi" w:cstheme="majorBidi"/>
              </w:rPr>
              <w:t xml:space="preserve"> is 134 ml/min. </w:t>
            </w:r>
            <w:r w:rsidRPr="00995488">
              <w:rPr>
                <w:rFonts w:asciiTheme="majorBidi" w:hAnsiTheme="majorBidi" w:cstheme="majorBidi"/>
                <w:strike/>
                <w:highlight w:val="green"/>
              </w:rPr>
              <w:t>The elimination of</w:t>
            </w:r>
            <w:r w:rsidRPr="00995488">
              <w:rPr>
                <w:rFonts w:asciiTheme="majorBidi" w:hAnsiTheme="majorBidi" w:cstheme="majorBidi"/>
                <w:highlight w:val="green"/>
              </w:rPr>
              <w:t xml:space="preserve"> </w:t>
            </w:r>
            <w:r w:rsidRPr="00995488">
              <w:rPr>
                <w:rFonts w:asciiTheme="majorBidi" w:hAnsiTheme="majorBidi" w:cstheme="majorBidi"/>
                <w:highlight w:val="yellow"/>
              </w:rPr>
              <w:t xml:space="preserve">It is not known whether </w:t>
            </w:r>
            <w:proofErr w:type="spellStart"/>
            <w:r w:rsidRPr="00995488">
              <w:rPr>
                <w:rFonts w:asciiTheme="majorBidi" w:hAnsiTheme="majorBidi" w:cstheme="majorBidi"/>
              </w:rPr>
              <w:t>tenofovir</w:t>
            </w:r>
            <w:proofErr w:type="spellEnd"/>
            <w:r w:rsidRPr="00995488">
              <w:rPr>
                <w:rFonts w:asciiTheme="majorBidi" w:hAnsiTheme="majorBidi" w:cstheme="majorBidi"/>
              </w:rPr>
              <w:t xml:space="preserve"> </w:t>
            </w:r>
            <w:r w:rsidRPr="00995488">
              <w:rPr>
                <w:rFonts w:asciiTheme="majorBidi" w:hAnsiTheme="majorBidi" w:cstheme="majorBidi"/>
                <w:highlight w:val="yellow"/>
              </w:rPr>
              <w:t xml:space="preserve">can be removed </w:t>
            </w:r>
            <w:r w:rsidRPr="00995488">
              <w:rPr>
                <w:rFonts w:asciiTheme="majorBidi" w:hAnsiTheme="majorBidi" w:cstheme="majorBidi"/>
              </w:rPr>
              <w:t xml:space="preserve">by peritoneal dialysis. </w:t>
            </w:r>
            <w:proofErr w:type="gramStart"/>
            <w:r w:rsidRPr="00995488">
              <w:rPr>
                <w:rFonts w:asciiTheme="majorBidi" w:hAnsiTheme="majorBidi" w:cstheme="majorBidi"/>
                <w:strike/>
                <w:highlight w:val="green"/>
              </w:rPr>
              <w:t>has</w:t>
            </w:r>
            <w:proofErr w:type="gramEnd"/>
            <w:r w:rsidRPr="00995488">
              <w:rPr>
                <w:rFonts w:asciiTheme="majorBidi" w:hAnsiTheme="majorBidi" w:cstheme="majorBidi"/>
                <w:strike/>
                <w:highlight w:val="green"/>
              </w:rPr>
              <w:t xml:space="preserve"> not been</w:t>
            </w:r>
            <w:r w:rsidRPr="00995488">
              <w:rPr>
                <w:rFonts w:asciiTheme="majorBidi" w:hAnsiTheme="majorBidi" w:cstheme="majorBidi"/>
                <w:strike/>
                <w:color w:val="000000"/>
                <w:highlight w:val="green"/>
              </w:rPr>
              <w:t xml:space="preserve"> studied.</w:t>
            </w:r>
          </w:p>
        </w:tc>
      </w:tr>
    </w:tbl>
    <w:p w:rsidR="004005FA" w:rsidRDefault="004005FA" w:rsidP="000237EE">
      <w:pPr>
        <w:spacing w:after="0" w:line="240" w:lineRule="auto"/>
        <w:ind w:right="-142"/>
        <w:rPr>
          <w:rFonts w:cs="David Transparent"/>
          <w:color w:val="FF0000"/>
          <w:szCs w:val="28"/>
          <w:rtl/>
        </w:rPr>
      </w:pPr>
    </w:p>
    <w:p w:rsidR="004005FA" w:rsidRDefault="004005FA" w:rsidP="000237EE">
      <w:pPr>
        <w:spacing w:after="0" w:line="240" w:lineRule="auto"/>
        <w:ind w:right="-142"/>
        <w:rPr>
          <w:rFonts w:cs="David Transparent"/>
          <w:color w:val="FF0000"/>
          <w:szCs w:val="28"/>
          <w:rtl/>
        </w:rPr>
      </w:pPr>
    </w:p>
    <w:p w:rsidR="000237EE" w:rsidRDefault="000237EE" w:rsidP="000237EE">
      <w:pPr>
        <w:spacing w:after="0" w:line="240" w:lineRule="auto"/>
        <w:ind w:right="-142"/>
        <w:rPr>
          <w:rFonts w:cs="David"/>
          <w:sz w:val="24"/>
          <w:szCs w:val="24"/>
          <w:rtl/>
        </w:rPr>
      </w:pPr>
    </w:p>
    <w:p w:rsidR="000237EE" w:rsidRPr="00047A67" w:rsidRDefault="000237EE" w:rsidP="000237EE">
      <w:pPr>
        <w:spacing w:after="0" w:line="240" w:lineRule="auto"/>
        <w:ind w:left="-143" w:right="-142"/>
        <w:rPr>
          <w:rFonts w:cs="David"/>
          <w:sz w:val="24"/>
          <w:szCs w:val="24"/>
          <w:rtl/>
        </w:rPr>
      </w:pPr>
      <w:r w:rsidRPr="00047A67">
        <w:rPr>
          <w:rFonts w:cs="David" w:hint="cs"/>
          <w:sz w:val="24"/>
          <w:szCs w:val="24"/>
          <w:rtl/>
        </w:rPr>
        <w:t xml:space="preserve">מצ"ב </w:t>
      </w:r>
      <w:r w:rsidRPr="00047A67">
        <w:rPr>
          <w:rFonts w:cs="David"/>
          <w:sz w:val="24"/>
          <w:szCs w:val="24"/>
          <w:rtl/>
        </w:rPr>
        <w:t>העלון, שבו מסומנ</w:t>
      </w:r>
      <w:r w:rsidRPr="00047A67">
        <w:rPr>
          <w:rFonts w:cs="David" w:hint="cs"/>
          <w:sz w:val="24"/>
          <w:szCs w:val="24"/>
          <w:rtl/>
        </w:rPr>
        <w:t>ות</w:t>
      </w:r>
      <w:r w:rsidRPr="00047A67">
        <w:rPr>
          <w:rFonts w:cs="David"/>
          <w:sz w:val="24"/>
          <w:szCs w:val="24"/>
          <w:rtl/>
        </w:rPr>
        <w:t xml:space="preserve"> </w:t>
      </w:r>
      <w:proofErr w:type="spellStart"/>
      <w:r w:rsidRPr="00047A67">
        <w:rPr>
          <w:rFonts w:cs="David" w:hint="cs"/>
          <w:sz w:val="24"/>
          <w:szCs w:val="24"/>
          <w:rtl/>
        </w:rPr>
        <w:t>ההחמרות</w:t>
      </w:r>
      <w:proofErr w:type="spellEnd"/>
      <w:r w:rsidRPr="00047A67">
        <w:rPr>
          <w:rFonts w:cs="David" w:hint="cs"/>
          <w:sz w:val="24"/>
          <w:szCs w:val="24"/>
          <w:rtl/>
        </w:rPr>
        <w:t xml:space="preserve"> </w:t>
      </w:r>
      <w:r w:rsidRPr="00047A67">
        <w:rPr>
          <w:rFonts w:cs="David"/>
          <w:sz w:val="24"/>
          <w:szCs w:val="24"/>
          <w:rtl/>
        </w:rPr>
        <w:t>המבוקש</w:t>
      </w:r>
      <w:r w:rsidRPr="00047A67">
        <w:rPr>
          <w:rFonts w:cs="David" w:hint="cs"/>
          <w:sz w:val="24"/>
          <w:szCs w:val="24"/>
          <w:rtl/>
        </w:rPr>
        <w:t xml:space="preserve">ות  </w:t>
      </w:r>
      <w:r w:rsidRPr="00047A67">
        <w:rPr>
          <w:rFonts w:cs="David" w:hint="cs"/>
          <w:sz w:val="24"/>
          <w:szCs w:val="24"/>
          <w:highlight w:val="yellow"/>
          <w:rtl/>
        </w:rPr>
        <w:t>על רקע צהוב</w:t>
      </w:r>
      <w:r w:rsidRPr="00047A67">
        <w:rPr>
          <w:rFonts w:cs="David" w:hint="cs"/>
          <w:sz w:val="24"/>
          <w:szCs w:val="24"/>
          <w:rtl/>
        </w:rPr>
        <w:t>.</w:t>
      </w:r>
    </w:p>
    <w:p w:rsidR="000237EE" w:rsidRPr="00047A67" w:rsidRDefault="000237EE" w:rsidP="000237EE">
      <w:pPr>
        <w:spacing w:after="0" w:line="240" w:lineRule="auto"/>
        <w:ind w:left="-143" w:right="-142"/>
        <w:rPr>
          <w:rFonts w:cs="David"/>
          <w:sz w:val="24"/>
          <w:szCs w:val="24"/>
          <w:rtl/>
        </w:rPr>
      </w:pPr>
      <w:r w:rsidRPr="00047A67">
        <w:rPr>
          <w:rFonts w:cs="David" w:hint="cs"/>
          <w:sz w:val="24"/>
          <w:szCs w:val="24"/>
          <w:rtl/>
        </w:rPr>
        <w:t xml:space="preserve">שינויים שאינם בגדר </w:t>
      </w:r>
      <w:proofErr w:type="spellStart"/>
      <w:r w:rsidRPr="00047A67">
        <w:rPr>
          <w:rFonts w:cs="David" w:hint="cs"/>
          <w:sz w:val="24"/>
          <w:szCs w:val="24"/>
          <w:rtl/>
        </w:rPr>
        <w:t>החמרות</w:t>
      </w:r>
      <w:proofErr w:type="spellEnd"/>
      <w:r w:rsidRPr="00047A67">
        <w:rPr>
          <w:rFonts w:cs="David" w:hint="cs"/>
          <w:sz w:val="24"/>
          <w:szCs w:val="24"/>
          <w:rtl/>
        </w:rPr>
        <w:t xml:space="preserve"> סומנו (בעלון) בטקסט </w:t>
      </w:r>
      <w:r w:rsidRPr="00047A67">
        <w:rPr>
          <w:rFonts w:cs="David" w:hint="cs"/>
          <w:color w:val="00B050"/>
          <w:sz w:val="24"/>
          <w:szCs w:val="24"/>
          <w:rtl/>
        </w:rPr>
        <w:t>ירוק</w:t>
      </w:r>
      <w:r w:rsidRPr="00047A67">
        <w:rPr>
          <w:rFonts w:cs="David" w:hint="cs"/>
          <w:sz w:val="24"/>
          <w:szCs w:val="24"/>
          <w:rtl/>
        </w:rPr>
        <w:t>.</w:t>
      </w:r>
    </w:p>
    <w:p w:rsidR="000237EE" w:rsidRPr="00047A67" w:rsidRDefault="000237EE" w:rsidP="0047560E">
      <w:pPr>
        <w:spacing w:after="0" w:line="240" w:lineRule="auto"/>
        <w:ind w:left="-143" w:right="-142"/>
        <w:rPr>
          <w:rFonts w:cs="David"/>
          <w:sz w:val="24"/>
          <w:szCs w:val="24"/>
          <w:rtl/>
        </w:rPr>
      </w:pPr>
      <w:r w:rsidRPr="00047A67">
        <w:rPr>
          <w:rFonts w:cs="David" w:hint="cs"/>
          <w:sz w:val="24"/>
          <w:szCs w:val="24"/>
          <w:rtl/>
        </w:rPr>
        <w:t>הועבר בדואר אלקטרוני בתאריך</w:t>
      </w:r>
      <w:r>
        <w:rPr>
          <w:rFonts w:cs="David" w:hint="cs"/>
          <w:sz w:val="24"/>
          <w:szCs w:val="24"/>
          <w:rtl/>
        </w:rPr>
        <w:t xml:space="preserve">: </w:t>
      </w:r>
      <w:r w:rsidRPr="00047A67">
        <w:rPr>
          <w:rFonts w:cs="David" w:hint="cs"/>
          <w:sz w:val="24"/>
          <w:szCs w:val="24"/>
          <w:rtl/>
        </w:rPr>
        <w:t xml:space="preserve"> </w:t>
      </w:r>
      <w:r w:rsidR="0047560E">
        <w:rPr>
          <w:rFonts w:cs="David" w:hint="cs"/>
          <w:sz w:val="24"/>
          <w:szCs w:val="24"/>
          <w:u w:val="single"/>
          <w:rtl/>
        </w:rPr>
        <w:t>13</w:t>
      </w:r>
      <w:r w:rsidRPr="008F78D1">
        <w:rPr>
          <w:rFonts w:cs="David" w:hint="cs"/>
          <w:sz w:val="24"/>
          <w:szCs w:val="24"/>
          <w:u w:val="single"/>
          <w:rtl/>
        </w:rPr>
        <w:t>.01.2013</w:t>
      </w:r>
    </w:p>
    <w:p w:rsidR="000237EE" w:rsidRPr="00047A67" w:rsidRDefault="000237EE" w:rsidP="000237EE">
      <w:pPr>
        <w:spacing w:after="0" w:line="240" w:lineRule="auto"/>
        <w:ind w:left="-143" w:right="-142"/>
        <w:rPr>
          <w:rFonts w:cs="David"/>
          <w:sz w:val="24"/>
          <w:szCs w:val="24"/>
          <w:rtl/>
        </w:rPr>
      </w:pPr>
    </w:p>
    <w:p w:rsidR="000237EE" w:rsidRPr="00047A67" w:rsidRDefault="000237EE" w:rsidP="000237EE">
      <w:pPr>
        <w:numPr>
          <w:ilvl w:val="0"/>
          <w:numId w:val="2"/>
        </w:numPr>
        <w:spacing w:after="0" w:line="240" w:lineRule="auto"/>
        <w:ind w:right="-142"/>
        <w:rPr>
          <w:rFonts w:cs="David"/>
          <w:sz w:val="24"/>
          <w:szCs w:val="24"/>
        </w:rPr>
      </w:pPr>
      <w:r w:rsidRPr="00047A67">
        <w:rPr>
          <w:rFonts w:cs="David" w:hint="cs"/>
          <w:sz w:val="24"/>
          <w:szCs w:val="24"/>
          <w:rtl/>
        </w:rPr>
        <w:t>כל השינויים עולים בקנה אחד עם תנאי הרישום.</w:t>
      </w:r>
    </w:p>
    <w:p w:rsidR="000237EE" w:rsidRPr="00047A67" w:rsidRDefault="000237EE" w:rsidP="000237EE">
      <w:pPr>
        <w:numPr>
          <w:ilvl w:val="0"/>
          <w:numId w:val="2"/>
        </w:numPr>
        <w:spacing w:after="0" w:line="240" w:lineRule="auto"/>
        <w:ind w:right="-142"/>
        <w:rPr>
          <w:rFonts w:cs="David"/>
          <w:sz w:val="24"/>
          <w:szCs w:val="24"/>
        </w:rPr>
      </w:pPr>
      <w:r w:rsidRPr="00047A67">
        <w:rPr>
          <w:rFonts w:cs="David" w:hint="cs"/>
          <w:sz w:val="24"/>
          <w:szCs w:val="24"/>
          <w:rtl/>
        </w:rPr>
        <w:t>קיים עלון לצרכן והוא מעודכן בהתאם.</w:t>
      </w:r>
    </w:p>
    <w:p w:rsidR="000237EE" w:rsidRPr="00047A67" w:rsidRDefault="000237EE" w:rsidP="000237EE">
      <w:pPr>
        <w:numPr>
          <w:ilvl w:val="0"/>
          <w:numId w:val="2"/>
        </w:numPr>
        <w:spacing w:after="0" w:line="240" w:lineRule="auto"/>
        <w:ind w:right="-142"/>
        <w:rPr>
          <w:rFonts w:cs="David"/>
          <w:sz w:val="24"/>
          <w:szCs w:val="24"/>
          <w:rtl/>
        </w:rPr>
      </w:pPr>
      <w:r>
        <w:rPr>
          <w:rFonts w:cs="David" w:hint="cs"/>
          <w:sz w:val="24"/>
          <w:szCs w:val="24"/>
          <w:rtl/>
        </w:rPr>
        <w:t xml:space="preserve">אסמכתא לבקשה: </w:t>
      </w:r>
      <w:r w:rsidRPr="00DC75BE">
        <w:rPr>
          <w:rFonts w:cs="David" w:hint="cs"/>
          <w:sz w:val="24"/>
          <w:szCs w:val="24"/>
          <w:u w:val="single"/>
          <w:rtl/>
        </w:rPr>
        <w:t>עלון מאושר באירופה</w:t>
      </w:r>
    </w:p>
    <w:p w:rsidR="000237EE" w:rsidRPr="00047A67" w:rsidRDefault="000237EE" w:rsidP="000237EE">
      <w:pPr>
        <w:spacing w:after="0" w:line="240" w:lineRule="auto"/>
        <w:ind w:left="217" w:right="-142"/>
        <w:rPr>
          <w:rFonts w:cs="David"/>
          <w:sz w:val="24"/>
          <w:szCs w:val="24"/>
          <w:rtl/>
        </w:rPr>
      </w:pPr>
      <w:r w:rsidRPr="00047A67">
        <w:rPr>
          <w:rFonts w:cs="David" w:hint="cs"/>
          <w:sz w:val="24"/>
          <w:szCs w:val="24"/>
          <w:rtl/>
        </w:rPr>
        <w:t>אסמכתא מצ"ב</w:t>
      </w:r>
    </w:p>
    <w:p w:rsidR="000237EE" w:rsidRPr="00DC75BE" w:rsidRDefault="000237EE" w:rsidP="000237EE">
      <w:pPr>
        <w:pStyle w:val="ListParagraph"/>
        <w:numPr>
          <w:ilvl w:val="1"/>
          <w:numId w:val="3"/>
        </w:numPr>
        <w:ind w:right="-142"/>
        <w:contextualSpacing/>
        <w:rPr>
          <w:szCs w:val="24"/>
          <w:rtl/>
        </w:rPr>
      </w:pPr>
      <w:r w:rsidRPr="00DC75BE">
        <w:rPr>
          <w:rFonts w:hint="cs"/>
          <w:szCs w:val="24"/>
          <w:rtl/>
        </w:rPr>
        <w:t>השינוי הנ"ל אושר על ידי רשויות הבריאות ב</w:t>
      </w:r>
      <w:r w:rsidRPr="00DC75BE">
        <w:rPr>
          <w:rFonts w:hint="cs"/>
          <w:szCs w:val="24"/>
          <w:u w:val="single"/>
          <w:rtl/>
        </w:rPr>
        <w:t>אירופה</w:t>
      </w:r>
    </w:p>
    <w:p w:rsidR="000237EE" w:rsidRPr="00DC75BE" w:rsidRDefault="000237EE" w:rsidP="000237EE">
      <w:pPr>
        <w:pStyle w:val="ListParagraph"/>
        <w:numPr>
          <w:ilvl w:val="1"/>
          <w:numId w:val="3"/>
        </w:numPr>
        <w:ind w:right="-142"/>
        <w:contextualSpacing/>
        <w:rPr>
          <w:szCs w:val="24"/>
          <w:rtl/>
        </w:rPr>
      </w:pPr>
      <w:r w:rsidRPr="00DC75BE">
        <w:rPr>
          <w:rFonts w:hint="cs"/>
          <w:szCs w:val="24"/>
          <w:rtl/>
        </w:rPr>
        <w:t>אני, הרוקח</w:t>
      </w:r>
      <w:r>
        <w:rPr>
          <w:rFonts w:hint="cs"/>
          <w:szCs w:val="24"/>
          <w:rtl/>
        </w:rPr>
        <w:t xml:space="preserve"> </w:t>
      </w:r>
      <w:r w:rsidRPr="00DC75BE">
        <w:rPr>
          <w:rFonts w:hint="cs"/>
          <w:szCs w:val="24"/>
          <w:rtl/>
        </w:rPr>
        <w:t xml:space="preserve"> הממונה של חברת </w:t>
      </w:r>
      <w:r w:rsidRPr="00DC75BE">
        <w:rPr>
          <w:rFonts w:hint="cs"/>
          <w:szCs w:val="24"/>
          <w:u w:val="single"/>
          <w:rtl/>
        </w:rPr>
        <w:t>ניאופרם בע"מ</w:t>
      </w:r>
      <w:r w:rsidRPr="00DC75BE">
        <w:rPr>
          <w:rFonts w:hint="cs"/>
          <w:szCs w:val="24"/>
          <w:rtl/>
        </w:rPr>
        <w:t xml:space="preserve"> מצהיר בזה כי אין שינויים נוספים בעלון.</w:t>
      </w:r>
    </w:p>
    <w:p w:rsidR="000237EE" w:rsidRPr="00DC75BE" w:rsidRDefault="000237EE" w:rsidP="000237EE">
      <w:pPr>
        <w:pStyle w:val="ListParagraph"/>
        <w:numPr>
          <w:ilvl w:val="1"/>
          <w:numId w:val="3"/>
        </w:numPr>
        <w:ind w:right="-142"/>
        <w:contextualSpacing/>
        <w:rPr>
          <w:szCs w:val="24"/>
          <w:rtl/>
        </w:rPr>
      </w:pPr>
      <w:r w:rsidRPr="00DC75BE">
        <w:rPr>
          <w:rFonts w:hint="cs"/>
          <w:szCs w:val="24"/>
          <w:rtl/>
        </w:rPr>
        <w:t>אני מצהיר כי השינויים אינם יוצרים סתירה פנימית במידע בעלון.</w:t>
      </w:r>
    </w:p>
    <w:p w:rsidR="000237EE" w:rsidRPr="00047A67" w:rsidRDefault="000237EE" w:rsidP="000237EE">
      <w:pPr>
        <w:spacing w:after="0" w:line="240" w:lineRule="auto"/>
        <w:ind w:right="-142"/>
        <w:rPr>
          <w:rFonts w:cs="David"/>
          <w:sz w:val="24"/>
          <w:szCs w:val="24"/>
          <w:rtl/>
        </w:rPr>
      </w:pPr>
    </w:p>
    <w:p w:rsidR="000237EE" w:rsidRPr="00047A67" w:rsidRDefault="000237EE" w:rsidP="000237EE">
      <w:pPr>
        <w:spacing w:after="0" w:line="240" w:lineRule="auto"/>
        <w:ind w:right="-142"/>
        <w:rPr>
          <w:rFonts w:cs="David"/>
          <w:sz w:val="24"/>
          <w:szCs w:val="24"/>
          <w:rtl/>
        </w:rPr>
      </w:pPr>
      <w:r w:rsidRPr="00047A67">
        <w:rPr>
          <w:rFonts w:cs="David" w:hint="cs"/>
          <w:sz w:val="24"/>
          <w:szCs w:val="24"/>
          <w:rtl/>
        </w:rPr>
        <w:t>חתימת הרוקח הממונה (שם וחתימה)_________________________________</w:t>
      </w:r>
    </w:p>
    <w:p w:rsidR="000237EE" w:rsidRDefault="000237EE" w:rsidP="000237EE">
      <w:pPr>
        <w:rPr>
          <w:rtl/>
        </w:rPr>
      </w:pPr>
    </w:p>
    <w:p w:rsidR="000237EE" w:rsidRDefault="000237EE" w:rsidP="000237EE">
      <w:pPr>
        <w:rPr>
          <w:rtl/>
        </w:rPr>
      </w:pPr>
    </w:p>
    <w:p w:rsidR="00DE7514" w:rsidRDefault="00DE7514" w:rsidP="008F78D1">
      <w:pPr>
        <w:jc w:val="center"/>
        <w:rPr>
          <w:rFonts w:cs="David Transparent"/>
          <w:color w:val="FF0000"/>
          <w:szCs w:val="28"/>
          <w:rtl/>
        </w:rPr>
      </w:pPr>
    </w:p>
    <w:p w:rsidR="00DE7514" w:rsidRDefault="00DE7514" w:rsidP="008F78D1">
      <w:pPr>
        <w:jc w:val="center"/>
        <w:rPr>
          <w:rFonts w:cs="David Transparent"/>
          <w:color w:val="FF0000"/>
          <w:szCs w:val="28"/>
          <w:rtl/>
        </w:rPr>
      </w:pPr>
    </w:p>
    <w:p w:rsidR="00DE7514" w:rsidRDefault="00DE7514" w:rsidP="008F78D1">
      <w:pPr>
        <w:jc w:val="center"/>
        <w:rPr>
          <w:rFonts w:cs="David Transparent"/>
          <w:color w:val="FF0000"/>
          <w:szCs w:val="28"/>
          <w:rtl/>
        </w:rPr>
      </w:pPr>
    </w:p>
    <w:p w:rsidR="00DE7514" w:rsidRDefault="00DE7514" w:rsidP="008F78D1">
      <w:pPr>
        <w:jc w:val="center"/>
        <w:rPr>
          <w:rFonts w:cs="David Transparent"/>
          <w:color w:val="FF0000"/>
          <w:szCs w:val="28"/>
          <w:rtl/>
        </w:rPr>
      </w:pPr>
    </w:p>
    <w:p w:rsidR="008F78D1" w:rsidRDefault="008F78D1">
      <w:pPr>
        <w:rPr>
          <w:rtl/>
        </w:rPr>
      </w:pPr>
    </w:p>
    <w:sectPr w:rsidR="008F78D1" w:rsidSect="00DE7514">
      <w:footerReference w:type="default" r:id="rId9"/>
      <w:pgSz w:w="11906" w:h="16838"/>
      <w:pgMar w:top="1440" w:right="1800" w:bottom="1440" w:left="1800"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1D7" w:rsidRDefault="001D61D7" w:rsidP="00DE7514">
      <w:pPr>
        <w:spacing w:after="0" w:line="240" w:lineRule="auto"/>
      </w:pPr>
      <w:r>
        <w:separator/>
      </w:r>
    </w:p>
  </w:endnote>
  <w:endnote w:type="continuationSeparator" w:id="0">
    <w:p w:rsidR="001D61D7" w:rsidRDefault="001D61D7" w:rsidP="00DE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avid Transparent">
    <w:panose1 w:val="020E0502060401010101"/>
    <w:charset w:val="B1"/>
    <w:family w:val="swiss"/>
    <w:pitch w:val="variable"/>
    <w:sig w:usb0="00000801" w:usb1="00000000" w:usb2="00000000" w:usb3="00000000" w:csb0="0000002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1D7" w:rsidRDefault="001D61D7" w:rsidP="00DE7514">
    <w:pPr>
      <w:pStyle w:val="Footer"/>
      <w:tabs>
        <w:tab w:val="clear" w:pos="4153"/>
        <w:tab w:val="clear" w:pos="8306"/>
        <w:tab w:val="left" w:pos="603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1D7" w:rsidRDefault="001D61D7" w:rsidP="00DE7514">
      <w:pPr>
        <w:spacing w:after="0" w:line="240" w:lineRule="auto"/>
      </w:pPr>
      <w:r>
        <w:separator/>
      </w:r>
    </w:p>
  </w:footnote>
  <w:footnote w:type="continuationSeparator" w:id="0">
    <w:p w:rsidR="001D61D7" w:rsidRDefault="001D61D7" w:rsidP="00DE7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0C1F"/>
    <w:multiLevelType w:val="hybridMultilevel"/>
    <w:tmpl w:val="212CD76E"/>
    <w:lvl w:ilvl="0" w:tplc="0409000D">
      <w:start w:val="1"/>
      <w:numFmt w:val="bullet"/>
      <w:lvlText w:val=""/>
      <w:lvlJc w:val="left"/>
      <w:pPr>
        <w:ind w:left="217" w:hanging="360"/>
      </w:pPr>
      <w:rPr>
        <w:rFonts w:ascii="Wingdings" w:hAnsi="Wingdings" w:hint="default"/>
        <w:b w:val="0"/>
      </w:rPr>
    </w:lvl>
    <w:lvl w:ilvl="1" w:tplc="352654EC">
      <w:numFmt w:val="bullet"/>
      <w:lvlText w:val=""/>
      <w:lvlJc w:val="left"/>
      <w:pPr>
        <w:ind w:left="937" w:hanging="360"/>
      </w:pPr>
      <w:rPr>
        <w:rFonts w:ascii="Wingdings 2" w:eastAsia="Calibri" w:hAnsi="Wingdings 2" w:cs="David"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
    <w:nsid w:val="1B930A81"/>
    <w:multiLevelType w:val="hybridMultilevel"/>
    <w:tmpl w:val="333284D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C6E2D"/>
    <w:multiLevelType w:val="hybridMultilevel"/>
    <w:tmpl w:val="564C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33A72"/>
    <w:multiLevelType w:val="multilevel"/>
    <w:tmpl w:val="B60C8B0A"/>
    <w:lvl w:ilvl="0">
      <w:start w:val="5"/>
      <w:numFmt w:val="decimal"/>
      <w:lvlText w:val="%1"/>
      <w:lvlJc w:val="left"/>
      <w:pPr>
        <w:tabs>
          <w:tab w:val="num" w:pos="555"/>
        </w:tabs>
        <w:ind w:left="555" w:right="555" w:hanging="555"/>
      </w:pPr>
      <w:rPr>
        <w:rFonts w:hint="default"/>
      </w:rPr>
    </w:lvl>
    <w:lvl w:ilvl="1">
      <w:start w:val="3"/>
      <w:numFmt w:val="decimal"/>
      <w:lvlText w:val="%1.%2"/>
      <w:lvlJc w:val="left"/>
      <w:pPr>
        <w:tabs>
          <w:tab w:val="num" w:pos="555"/>
        </w:tabs>
        <w:ind w:left="555" w:right="555" w:hanging="555"/>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080"/>
        </w:tabs>
        <w:ind w:left="1080" w:right="1080" w:hanging="108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440"/>
        </w:tabs>
        <w:ind w:left="1440" w:right="144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D1"/>
    <w:rsid w:val="000237EE"/>
    <w:rsid w:val="00052AD5"/>
    <w:rsid w:val="0013112D"/>
    <w:rsid w:val="00132C84"/>
    <w:rsid w:val="0018755D"/>
    <w:rsid w:val="001D61D7"/>
    <w:rsid w:val="001E1139"/>
    <w:rsid w:val="001E1CBA"/>
    <w:rsid w:val="00220698"/>
    <w:rsid w:val="00302E34"/>
    <w:rsid w:val="00356E74"/>
    <w:rsid w:val="003B2C4B"/>
    <w:rsid w:val="003B3FA0"/>
    <w:rsid w:val="004005FA"/>
    <w:rsid w:val="004564C6"/>
    <w:rsid w:val="0047560E"/>
    <w:rsid w:val="004809B1"/>
    <w:rsid w:val="004F6AB0"/>
    <w:rsid w:val="005C533D"/>
    <w:rsid w:val="005E75A6"/>
    <w:rsid w:val="006E3D63"/>
    <w:rsid w:val="006E42F8"/>
    <w:rsid w:val="00707E4C"/>
    <w:rsid w:val="00827313"/>
    <w:rsid w:val="0088040D"/>
    <w:rsid w:val="008A2416"/>
    <w:rsid w:val="008F78D1"/>
    <w:rsid w:val="009363EF"/>
    <w:rsid w:val="00952D5B"/>
    <w:rsid w:val="009559A4"/>
    <w:rsid w:val="00991B17"/>
    <w:rsid w:val="00995488"/>
    <w:rsid w:val="00A745DE"/>
    <w:rsid w:val="00AC1962"/>
    <w:rsid w:val="00B40ECD"/>
    <w:rsid w:val="00BA0995"/>
    <w:rsid w:val="00BC2521"/>
    <w:rsid w:val="00BC46EA"/>
    <w:rsid w:val="00C7202C"/>
    <w:rsid w:val="00C805D2"/>
    <w:rsid w:val="00DE7514"/>
    <w:rsid w:val="00E2486A"/>
    <w:rsid w:val="00E734C6"/>
    <w:rsid w:val="00EC016E"/>
    <w:rsid w:val="00F07F53"/>
    <w:rsid w:val="00FE06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8D1"/>
    <w:pPr>
      <w:spacing w:after="0" w:line="240" w:lineRule="auto"/>
      <w:ind w:left="720"/>
    </w:pPr>
    <w:rPr>
      <w:rFonts w:ascii="Bookman Old Style" w:eastAsia="Times New Roman" w:hAnsi="Bookman Old Style" w:cs="David"/>
      <w:noProof/>
      <w:sz w:val="24"/>
      <w:szCs w:val="28"/>
      <w:lang w:eastAsia="he-IL"/>
    </w:rPr>
  </w:style>
  <w:style w:type="paragraph" w:styleId="Header">
    <w:name w:val="header"/>
    <w:basedOn w:val="Normal"/>
    <w:link w:val="HeaderChar"/>
    <w:uiPriority w:val="99"/>
    <w:unhideWhenUsed/>
    <w:rsid w:val="00DE75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514"/>
  </w:style>
  <w:style w:type="paragraph" w:styleId="Footer">
    <w:name w:val="footer"/>
    <w:basedOn w:val="Normal"/>
    <w:link w:val="FooterChar"/>
    <w:uiPriority w:val="99"/>
    <w:unhideWhenUsed/>
    <w:rsid w:val="00DE75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514"/>
  </w:style>
  <w:style w:type="paragraph" w:styleId="Caption">
    <w:name w:val="caption"/>
    <w:basedOn w:val="Normal"/>
    <w:next w:val="Normal"/>
    <w:qFormat/>
    <w:rsid w:val="003B3FA0"/>
    <w:pPr>
      <w:keepNext/>
      <w:keepLines/>
      <w:bidi w:val="0"/>
      <w:spacing w:after="120" w:line="240" w:lineRule="auto"/>
      <w:ind w:left="2160" w:hanging="2160"/>
    </w:pPr>
    <w:rPr>
      <w:rFonts w:ascii="Times New Roman" w:eastAsia="Times New Roman" w:hAnsi="Times New Roman" w:cs="Times New Roman"/>
      <w:b/>
      <w:sz w:val="24"/>
      <w:szCs w:val="20"/>
      <w:lang w:bidi="ar-SA"/>
    </w:rPr>
  </w:style>
  <w:style w:type="paragraph" w:styleId="CommentText">
    <w:name w:val="annotation text"/>
    <w:basedOn w:val="Normal"/>
    <w:link w:val="CommentTextChar"/>
    <w:semiHidden/>
    <w:rsid w:val="00BA0995"/>
    <w:pPr>
      <w:bidi w:val="0"/>
      <w:spacing w:after="0" w:line="260" w:lineRule="exact"/>
    </w:pPr>
    <w:rPr>
      <w:rFonts w:ascii="Times New Roman" w:eastAsia="Times New Roman" w:hAnsi="Times New Roman" w:cs="Times New Roman"/>
      <w:sz w:val="20"/>
      <w:szCs w:val="20"/>
      <w:lang w:val="en-GB" w:bidi="ar-SA"/>
    </w:rPr>
  </w:style>
  <w:style w:type="character" w:customStyle="1" w:styleId="CommentTextChar">
    <w:name w:val="Comment Text Char"/>
    <w:basedOn w:val="DefaultParagraphFont"/>
    <w:link w:val="CommentText"/>
    <w:semiHidden/>
    <w:rsid w:val="00BA0995"/>
    <w:rPr>
      <w:rFonts w:ascii="Times New Roman" w:eastAsia="Times New Roman" w:hAnsi="Times New Roman" w:cs="Times New Roman"/>
      <w:sz w:val="20"/>
      <w:szCs w:val="20"/>
      <w:lang w:val="en-GB" w:bidi="ar-SA"/>
    </w:rPr>
  </w:style>
  <w:style w:type="paragraph" w:customStyle="1" w:styleId="text1">
    <w:name w:val="text1"/>
    <w:basedOn w:val="Normal"/>
    <w:uiPriority w:val="99"/>
    <w:rsid w:val="00991B17"/>
    <w:pPr>
      <w:bidi w:val="0"/>
      <w:spacing w:after="24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8D1"/>
    <w:pPr>
      <w:spacing w:after="0" w:line="240" w:lineRule="auto"/>
      <w:ind w:left="720"/>
    </w:pPr>
    <w:rPr>
      <w:rFonts w:ascii="Bookman Old Style" w:eastAsia="Times New Roman" w:hAnsi="Bookman Old Style" w:cs="David"/>
      <w:noProof/>
      <w:sz w:val="24"/>
      <w:szCs w:val="28"/>
      <w:lang w:eastAsia="he-IL"/>
    </w:rPr>
  </w:style>
  <w:style w:type="paragraph" w:styleId="Header">
    <w:name w:val="header"/>
    <w:basedOn w:val="Normal"/>
    <w:link w:val="HeaderChar"/>
    <w:uiPriority w:val="99"/>
    <w:unhideWhenUsed/>
    <w:rsid w:val="00DE75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514"/>
  </w:style>
  <w:style w:type="paragraph" w:styleId="Footer">
    <w:name w:val="footer"/>
    <w:basedOn w:val="Normal"/>
    <w:link w:val="FooterChar"/>
    <w:uiPriority w:val="99"/>
    <w:unhideWhenUsed/>
    <w:rsid w:val="00DE75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514"/>
  </w:style>
  <w:style w:type="paragraph" w:styleId="Caption">
    <w:name w:val="caption"/>
    <w:basedOn w:val="Normal"/>
    <w:next w:val="Normal"/>
    <w:qFormat/>
    <w:rsid w:val="003B3FA0"/>
    <w:pPr>
      <w:keepNext/>
      <w:keepLines/>
      <w:bidi w:val="0"/>
      <w:spacing w:after="120" w:line="240" w:lineRule="auto"/>
      <w:ind w:left="2160" w:hanging="2160"/>
    </w:pPr>
    <w:rPr>
      <w:rFonts w:ascii="Times New Roman" w:eastAsia="Times New Roman" w:hAnsi="Times New Roman" w:cs="Times New Roman"/>
      <w:b/>
      <w:sz w:val="24"/>
      <w:szCs w:val="20"/>
      <w:lang w:bidi="ar-SA"/>
    </w:rPr>
  </w:style>
  <w:style w:type="paragraph" w:styleId="CommentText">
    <w:name w:val="annotation text"/>
    <w:basedOn w:val="Normal"/>
    <w:link w:val="CommentTextChar"/>
    <w:semiHidden/>
    <w:rsid w:val="00BA0995"/>
    <w:pPr>
      <w:bidi w:val="0"/>
      <w:spacing w:after="0" w:line="260" w:lineRule="exact"/>
    </w:pPr>
    <w:rPr>
      <w:rFonts w:ascii="Times New Roman" w:eastAsia="Times New Roman" w:hAnsi="Times New Roman" w:cs="Times New Roman"/>
      <w:sz w:val="20"/>
      <w:szCs w:val="20"/>
      <w:lang w:val="en-GB" w:bidi="ar-SA"/>
    </w:rPr>
  </w:style>
  <w:style w:type="character" w:customStyle="1" w:styleId="CommentTextChar">
    <w:name w:val="Comment Text Char"/>
    <w:basedOn w:val="DefaultParagraphFont"/>
    <w:link w:val="CommentText"/>
    <w:semiHidden/>
    <w:rsid w:val="00BA0995"/>
    <w:rPr>
      <w:rFonts w:ascii="Times New Roman" w:eastAsia="Times New Roman" w:hAnsi="Times New Roman" w:cs="Times New Roman"/>
      <w:sz w:val="20"/>
      <w:szCs w:val="20"/>
      <w:lang w:val="en-GB" w:bidi="ar-SA"/>
    </w:rPr>
  </w:style>
  <w:style w:type="paragraph" w:customStyle="1" w:styleId="text1">
    <w:name w:val="text1"/>
    <w:basedOn w:val="Normal"/>
    <w:uiPriority w:val="99"/>
    <w:rsid w:val="00991B17"/>
    <w:pPr>
      <w:bidi w:val="0"/>
      <w:spacing w:after="24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177007316</AutoNumber>
    <REQUESTNUMBER xmlns="43f5c83f-d7ad-4276-a107-8019a824ecd5">90002,90003,90004</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103584,103584,103584</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REQUESTTYPE>
    <UCOMMENTS xmlns="43f5c83f-d7ad-4276-a107-8019a824ecd5">_</UCOMMENTS>
    <OWNER xmlns="43f5c83f-d7ad-4276-a107-8019a824ecd5">988,988,988</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143</SAPNAME>
    <SDDocumentSource xmlns="43f5c83f-d7ad-4276-a107-8019a824ecd5" xsi:nil="true"/>
    <SDImportance xmlns="43f5c83f-d7ad-4276-a107-8019a824ecd5" xsi:nil="true"/>
    <REGISTRATIONNUMBER xmlns="43f5c83f-d7ad-4276-a107-8019a824ecd5">3094423,3094424,3094425</REGISTRATIONNUMBER>
    <SDCategories xmlns="43f5c83f-d7ad-4276-a107-8019a824ecd5" xsi:nil="true"/>
    <SDDocDate xmlns="43f5c83f-d7ad-4276-a107-8019a824ecd5">1903-03-03T06:00:01+00:00</SDDocDate>
    <DRAGOBJID xmlns="43f5c83f-d7ad-4276-a107-8019a824ecd5">3094423,3094424,3094425</DRAGOBJID>
    <mossuploaddate xmlns="43f5c83f-d7ad-4276-a107-8019a824ecd5">2013-07-22 16:11:29</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6FCA7-6A4F-40AD-84D6-84F2A7CB7C7D}"/>
</file>

<file path=customXml/itemProps2.xml><?xml version="1.0" encoding="utf-8"?>
<ds:datastoreItem xmlns:ds="http://schemas.openxmlformats.org/officeDocument/2006/customXml" ds:itemID="{17968201-DF40-4029-8B70-3E2B08B61CAC}"/>
</file>

<file path=customXml/itemProps3.xml><?xml version="1.0" encoding="utf-8"?>
<ds:datastoreItem xmlns:ds="http://schemas.openxmlformats.org/officeDocument/2006/customXml" ds:itemID="{C7CD396A-ED62-4096-8F4A-88F90183EB75}"/>
</file>

<file path=customXml/itemProps4.xml><?xml version="1.0" encoding="utf-8"?>
<ds:datastoreItem xmlns:ds="http://schemas.openxmlformats.org/officeDocument/2006/customXml" ds:itemID="{02982C2F-35E3-44BD-974A-41F92266932C}"/>
</file>

<file path=docProps/app.xml><?xml version="1.0" encoding="utf-8"?>
<Properties xmlns="http://schemas.openxmlformats.org/officeDocument/2006/extended-properties" xmlns:vt="http://schemas.openxmlformats.org/officeDocument/2006/docPropsVTypes">
  <Template>Normal.dotm</Template>
  <TotalTime>94</TotalTime>
  <Pages>8</Pages>
  <Words>2597</Words>
  <Characters>12988</Characters>
  <Application>Microsoft Office Word</Application>
  <DocSecurity>0</DocSecurity>
  <Lines>108</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החמרות WORDviread</dc:title>
  <dc:creator>Einat Hamoy</dc:creator>
  <cp:lastModifiedBy>Karin Schwarts</cp:lastModifiedBy>
  <cp:revision>16</cp:revision>
  <cp:lastPrinted>2013-01-13T07:54:00Z</cp:lastPrinted>
  <dcterms:created xsi:type="dcterms:W3CDTF">2013-01-08T14:11:00Z</dcterms:created>
  <dcterms:modified xsi:type="dcterms:W3CDTF">2013-01-13T07:54:00Z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E_INDICATION">
    <vt:lpwstr>1</vt:lpwstr>
  </property>
  <property fmtid="{D5CDD505-2E9C-101B-9397-08002B2CF9AE}" pid="3" name="DOCM_CREATION_DATE">
    <vt:lpwstr>null</vt:lpwstr>
  </property>
  <property fmtid="{D5CDD505-2E9C-101B-9397-08002B2CF9AE}" pid="4" name="ContentTypeId">
    <vt:lpwstr>0x0101003087E69DB9DC9043B61CAF33AD2347EC02001CBDDCEF83C24E4BB60E8B2AD3F1B4C6</vt:lpwstr>
  </property>
</Properties>
</file>