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73" w:rsidRPr="00804173" w:rsidRDefault="00804173" w:rsidP="00804173">
      <w:pPr>
        <w:keepNext/>
        <w:spacing w:after="0" w:line="240" w:lineRule="auto"/>
        <w:ind w:left="-285" w:right="-142" w:firstLine="285"/>
        <w:jc w:val="center"/>
        <w:outlineLvl w:val="0"/>
        <w:rPr>
          <w:rFonts w:ascii="Times New Roman" w:eastAsia="Times New Roman" w:hAnsi="Times New Roman" w:cs="David Transparent"/>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4173">
        <w:rPr>
          <w:rFonts w:ascii="Times New Roman" w:eastAsia="Times New Roman" w:hAnsi="Times New Roman" w:cs="David Transparent" w:hint="cs"/>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804173">
        <w:rPr>
          <w:rFonts w:ascii="Times New Roman" w:eastAsia="Times New Roman" w:hAnsi="Times New Roman" w:cs="David Transparent"/>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804173">
        <w:rPr>
          <w:rFonts w:ascii="Times New Roman" w:eastAsia="Times New Roman" w:hAnsi="Times New Roman" w:cs="David Transparent" w:hint="cs"/>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804173">
        <w:rPr>
          <w:rFonts w:ascii="Times New Roman" w:eastAsia="Times New Roman" w:hAnsi="Times New Roman" w:cs="David Transparent"/>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w:t>
      </w:r>
      <w:r w:rsidRPr="00804173">
        <w:rPr>
          <w:rFonts w:ascii="Times New Roman" w:eastAsia="Times New Roman" w:hAnsi="Times New Roman" w:cs="David Transparent" w:hint="cs"/>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04173">
        <w:rPr>
          <w:rFonts w:ascii="Times New Roman" w:eastAsia="Times New Roman" w:hAnsi="Times New Roman" w:cs="David Transparent"/>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sidRPr="00804173">
        <w:rPr>
          <w:rFonts w:ascii="Times New Roman" w:eastAsia="Times New Roman" w:hAnsi="Times New Roman" w:cs="David Transparent" w:hint="cs"/>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Pr="00804173">
        <w:rPr>
          <w:rFonts w:ascii="Times New Roman" w:eastAsia="Times New Roman" w:hAnsi="Times New Roman" w:cs="David Transparent"/>
          <w:b/>
          <w:bCs/>
          <w:color w:val="C0C0C0"/>
          <w:sz w:val="28"/>
          <w:szCs w:val="28"/>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04173" w:rsidRPr="00804173" w:rsidRDefault="00804173" w:rsidP="00804173">
      <w:pPr>
        <w:spacing w:after="0" w:line="360" w:lineRule="auto"/>
        <w:rPr>
          <w:rFonts w:asciiTheme="minorBidi" w:hAnsiTheme="minorBidi"/>
          <w:b/>
          <w:bCs/>
          <w:sz w:val="20"/>
          <w:szCs w:val="20"/>
          <w:rtl/>
        </w:rPr>
      </w:pPr>
      <w:r w:rsidRPr="00804173">
        <w:rPr>
          <w:rFonts w:asciiTheme="minorBidi" w:hAnsiTheme="minorBidi"/>
          <w:b/>
          <w:bCs/>
          <w:sz w:val="20"/>
          <w:szCs w:val="20"/>
          <w:rtl/>
        </w:rPr>
        <w:t xml:space="preserve">תאריך: </w:t>
      </w:r>
      <w:r w:rsidRPr="00804173">
        <w:rPr>
          <w:rFonts w:asciiTheme="minorBidi" w:hAnsiTheme="minorBidi" w:hint="cs"/>
          <w:b/>
          <w:bCs/>
          <w:sz w:val="20"/>
          <w:szCs w:val="20"/>
          <w:u w:val="single"/>
          <w:rtl/>
        </w:rPr>
        <w:t>12 בנובמבר 2014</w:t>
      </w:r>
      <w:r w:rsidRPr="00804173">
        <w:rPr>
          <w:rFonts w:asciiTheme="minorBidi" w:hAnsiTheme="minorBidi"/>
          <w:b/>
          <w:bCs/>
          <w:sz w:val="20"/>
          <w:szCs w:val="20"/>
          <w:rtl/>
        </w:rPr>
        <w:tab/>
      </w:r>
    </w:p>
    <w:p w:rsidR="00804173" w:rsidRPr="00804173" w:rsidRDefault="00804173" w:rsidP="00804173">
      <w:pPr>
        <w:spacing w:after="0" w:line="360" w:lineRule="auto"/>
        <w:rPr>
          <w:rFonts w:asciiTheme="minorBidi" w:hAnsiTheme="minorBidi"/>
          <w:b/>
          <w:bCs/>
          <w:sz w:val="20"/>
          <w:szCs w:val="20"/>
          <w:rtl/>
        </w:rPr>
      </w:pPr>
      <w:r w:rsidRPr="00804173">
        <w:rPr>
          <w:rFonts w:asciiTheme="minorBidi" w:hAnsiTheme="minorBidi"/>
          <w:b/>
          <w:bCs/>
          <w:sz w:val="20"/>
          <w:szCs w:val="20"/>
          <w:rtl/>
        </w:rPr>
        <w:t>שם תכשיר באנגלית:</w:t>
      </w:r>
      <w:proofErr w:type="spellStart"/>
      <w:r w:rsidRPr="00804173">
        <w:rPr>
          <w:rFonts w:asciiTheme="minorBidi" w:hAnsiTheme="minorBidi"/>
          <w:b/>
          <w:bCs/>
          <w:sz w:val="20"/>
          <w:szCs w:val="20"/>
          <w:u w:val="single"/>
        </w:rPr>
        <w:t>Integrilin</w:t>
      </w:r>
      <w:proofErr w:type="spellEnd"/>
      <w:r w:rsidRPr="00804173">
        <w:rPr>
          <w:rFonts w:asciiTheme="minorBidi" w:hAnsiTheme="minorBidi"/>
          <w:b/>
          <w:bCs/>
          <w:sz w:val="20"/>
          <w:szCs w:val="20"/>
          <w:u w:val="single"/>
        </w:rPr>
        <w:t xml:space="preserve"> 0.75 mg/ml. 2 mg/ml</w:t>
      </w:r>
      <w:r w:rsidRPr="00804173">
        <w:rPr>
          <w:rFonts w:asciiTheme="minorBidi" w:hAnsiTheme="minorBidi"/>
          <w:b/>
          <w:bCs/>
          <w:sz w:val="20"/>
          <w:szCs w:val="20"/>
        </w:rPr>
        <w:t xml:space="preserve"> </w:t>
      </w:r>
      <w:r w:rsidRPr="00804173">
        <w:rPr>
          <w:rFonts w:asciiTheme="minorBidi" w:hAnsiTheme="minorBidi"/>
          <w:b/>
          <w:bCs/>
          <w:sz w:val="20"/>
          <w:szCs w:val="20"/>
          <w:rtl/>
        </w:rPr>
        <w:tab/>
      </w:r>
    </w:p>
    <w:p w:rsidR="00804173" w:rsidRPr="00804173" w:rsidRDefault="00804173" w:rsidP="00804173">
      <w:pPr>
        <w:spacing w:after="0" w:line="360" w:lineRule="auto"/>
        <w:rPr>
          <w:rFonts w:asciiTheme="minorBidi" w:hAnsiTheme="minorBidi"/>
          <w:b/>
          <w:bCs/>
          <w:sz w:val="20"/>
          <w:szCs w:val="20"/>
          <w:rtl/>
        </w:rPr>
      </w:pPr>
      <w:r w:rsidRPr="00804173">
        <w:rPr>
          <w:rFonts w:asciiTheme="minorBidi" w:hAnsiTheme="minorBidi"/>
          <w:b/>
          <w:bCs/>
          <w:sz w:val="20"/>
          <w:szCs w:val="20"/>
          <w:rtl/>
        </w:rPr>
        <w:t>מספר רישום:</w:t>
      </w:r>
      <w:r w:rsidRPr="00804173">
        <w:rPr>
          <w:rFonts w:asciiTheme="minorBidi" w:hAnsiTheme="minorBidi" w:hint="cs"/>
          <w:b/>
          <w:bCs/>
          <w:sz w:val="20"/>
          <w:szCs w:val="20"/>
          <w:rtl/>
        </w:rPr>
        <w:t xml:space="preserve"> </w:t>
      </w:r>
      <w:r w:rsidRPr="00804173">
        <w:rPr>
          <w:rFonts w:asciiTheme="minorBidi" w:hAnsiTheme="minorBidi"/>
          <w:b/>
          <w:bCs/>
          <w:sz w:val="20"/>
          <w:szCs w:val="20"/>
          <w:u w:val="single"/>
        </w:rPr>
        <w:t>112-71-29528-11,</w:t>
      </w:r>
      <w:r w:rsidRPr="00804173">
        <w:rPr>
          <w:rFonts w:ascii="Arial" w:hAnsi="Arial" w:cs="Arial"/>
          <w:b/>
          <w:bCs/>
          <w:sz w:val="24"/>
          <w:szCs w:val="24"/>
          <w:u w:val="single"/>
        </w:rPr>
        <w:t xml:space="preserve"> </w:t>
      </w:r>
      <w:r w:rsidRPr="00804173">
        <w:rPr>
          <w:rFonts w:asciiTheme="minorBidi" w:hAnsiTheme="minorBidi"/>
          <w:b/>
          <w:bCs/>
          <w:sz w:val="20"/>
          <w:szCs w:val="20"/>
          <w:u w:val="single"/>
        </w:rPr>
        <w:t>112-72-29529-11</w:t>
      </w:r>
    </w:p>
    <w:p w:rsidR="00804173" w:rsidRDefault="00804173" w:rsidP="00804173">
      <w:pPr>
        <w:spacing w:after="0" w:line="360" w:lineRule="auto"/>
        <w:rPr>
          <w:rFonts w:asciiTheme="minorBidi" w:hAnsiTheme="minorBidi"/>
          <w:b/>
          <w:bCs/>
          <w:sz w:val="20"/>
          <w:szCs w:val="20"/>
          <w:rtl/>
        </w:rPr>
      </w:pPr>
      <w:r w:rsidRPr="00804173">
        <w:rPr>
          <w:rFonts w:asciiTheme="minorBidi" w:hAnsiTheme="minorBidi"/>
          <w:b/>
          <w:bCs/>
          <w:sz w:val="20"/>
          <w:szCs w:val="20"/>
          <w:rtl/>
        </w:rPr>
        <w:t xml:space="preserve">שם בעל הרישום: </w:t>
      </w:r>
      <w:r w:rsidRPr="00804173">
        <w:rPr>
          <w:rFonts w:asciiTheme="minorBidi" w:hAnsiTheme="minorBidi"/>
          <w:b/>
          <w:bCs/>
          <w:sz w:val="20"/>
          <w:szCs w:val="20"/>
          <w:u w:val="single"/>
          <w:rtl/>
        </w:rPr>
        <w:t>חברת מרק שארפ ודוהם (ישראל-1996) בע"מ</w:t>
      </w:r>
    </w:p>
    <w:p w:rsidR="00166B8E" w:rsidRPr="00804173" w:rsidRDefault="00166B8E" w:rsidP="00804173">
      <w:pPr>
        <w:spacing w:after="0" w:line="360" w:lineRule="auto"/>
        <w:rPr>
          <w:rFonts w:asciiTheme="minorBidi" w:hAnsiTheme="minorBidi"/>
          <w:b/>
          <w:bCs/>
          <w:sz w:val="20"/>
          <w:szCs w:val="20"/>
          <w:rtl/>
        </w:rPr>
      </w:pPr>
    </w:p>
    <w:tbl>
      <w:tblPr>
        <w:tblStyle w:val="TableGrid"/>
        <w:bidiVisual/>
        <w:tblW w:w="9215" w:type="dxa"/>
        <w:tblInd w:w="-375" w:type="dxa"/>
        <w:tblLayout w:type="fixed"/>
        <w:tblLook w:val="04A0" w:firstRow="1" w:lastRow="0" w:firstColumn="1" w:lastColumn="0" w:noHBand="0" w:noVBand="1"/>
      </w:tblPr>
      <w:tblGrid>
        <w:gridCol w:w="2410"/>
        <w:gridCol w:w="3402"/>
        <w:gridCol w:w="3403"/>
      </w:tblGrid>
      <w:tr w:rsidR="00804173" w:rsidTr="00166B8E">
        <w:tc>
          <w:tcPr>
            <w:tcW w:w="9215" w:type="dxa"/>
            <w:gridSpan w:val="3"/>
            <w:shd w:val="clear" w:color="auto" w:fill="A6A6A6" w:themeFill="background1" w:themeFillShade="A6"/>
          </w:tcPr>
          <w:p w:rsidR="00804173" w:rsidRPr="00804173" w:rsidRDefault="00804173" w:rsidP="00804173">
            <w:pPr>
              <w:jc w:val="center"/>
              <w:rPr>
                <w:rFonts w:cs="David"/>
                <w:b/>
                <w:bCs/>
                <w:sz w:val="28"/>
                <w:szCs w:val="28"/>
                <w:rtl/>
              </w:rPr>
            </w:pPr>
            <w:r w:rsidRPr="00804173">
              <w:rPr>
                <w:rFonts w:cs="David" w:hint="cs"/>
                <w:b/>
                <w:bCs/>
                <w:sz w:val="28"/>
                <w:szCs w:val="28"/>
                <w:rtl/>
              </w:rPr>
              <w:t>ההחמרות המבוקשות</w:t>
            </w:r>
          </w:p>
        </w:tc>
      </w:tr>
      <w:tr w:rsidR="00804173" w:rsidTr="00166B8E">
        <w:tc>
          <w:tcPr>
            <w:tcW w:w="2410" w:type="dxa"/>
          </w:tcPr>
          <w:p w:rsidR="00804173" w:rsidRPr="00804173" w:rsidRDefault="00804173">
            <w:pPr>
              <w:rPr>
                <w:b/>
                <w:bCs/>
                <w:rtl/>
              </w:rPr>
            </w:pPr>
            <w:r w:rsidRPr="00804173">
              <w:rPr>
                <w:rFonts w:hint="cs"/>
                <w:b/>
                <w:bCs/>
                <w:rtl/>
              </w:rPr>
              <w:t>פרק בעלון לרופא</w:t>
            </w:r>
          </w:p>
        </w:tc>
        <w:tc>
          <w:tcPr>
            <w:tcW w:w="3402" w:type="dxa"/>
          </w:tcPr>
          <w:p w:rsidR="00804173" w:rsidRPr="00804173" w:rsidRDefault="00804173">
            <w:pPr>
              <w:rPr>
                <w:b/>
                <w:bCs/>
                <w:rtl/>
              </w:rPr>
            </w:pPr>
            <w:r w:rsidRPr="00804173">
              <w:rPr>
                <w:rFonts w:hint="cs"/>
                <w:b/>
                <w:bCs/>
                <w:rtl/>
              </w:rPr>
              <w:t>טקסט נוכחי</w:t>
            </w:r>
          </w:p>
        </w:tc>
        <w:tc>
          <w:tcPr>
            <w:tcW w:w="3403" w:type="dxa"/>
          </w:tcPr>
          <w:p w:rsidR="00804173" w:rsidRPr="00804173" w:rsidRDefault="00804173">
            <w:pPr>
              <w:rPr>
                <w:b/>
                <w:bCs/>
                <w:rtl/>
              </w:rPr>
            </w:pPr>
            <w:r w:rsidRPr="00804173">
              <w:rPr>
                <w:rFonts w:hint="cs"/>
                <w:b/>
                <w:bCs/>
                <w:rtl/>
              </w:rPr>
              <w:t>טקסט חדש</w:t>
            </w:r>
          </w:p>
        </w:tc>
      </w:tr>
      <w:tr w:rsidR="00804173" w:rsidTr="00166B8E">
        <w:tc>
          <w:tcPr>
            <w:tcW w:w="2410" w:type="dxa"/>
          </w:tcPr>
          <w:p w:rsidR="00804173" w:rsidRPr="00166B8E" w:rsidRDefault="00804173" w:rsidP="00804173">
            <w:pPr>
              <w:bidi w:val="0"/>
              <w:rPr>
                <w:rFonts w:asciiTheme="minorBidi" w:hAnsiTheme="minorBidi"/>
                <w:b/>
                <w:bCs/>
                <w:sz w:val="20"/>
                <w:szCs w:val="20"/>
                <w:rtl/>
              </w:rPr>
            </w:pPr>
            <w:r w:rsidRPr="00166B8E">
              <w:rPr>
                <w:rFonts w:asciiTheme="minorBidi" w:hAnsiTheme="minorBidi"/>
                <w:b/>
                <w:bCs/>
                <w:sz w:val="20"/>
                <w:szCs w:val="20"/>
              </w:rPr>
              <w:t>CONTRAINDICATIONS</w:t>
            </w:r>
          </w:p>
        </w:tc>
        <w:tc>
          <w:tcPr>
            <w:tcW w:w="3402" w:type="dxa"/>
          </w:tcPr>
          <w:p w:rsidR="00804173" w:rsidRPr="00166B8E" w:rsidRDefault="00804173" w:rsidP="00804173">
            <w:pPr>
              <w:bidi w:val="0"/>
              <w:rPr>
                <w:rFonts w:asciiTheme="minorBidi" w:hAnsiTheme="minorBidi"/>
                <w:sz w:val="20"/>
                <w:szCs w:val="20"/>
                <w:rtl/>
              </w:rPr>
            </w:pPr>
            <w:r w:rsidRPr="00166B8E">
              <w:rPr>
                <w:rFonts w:asciiTheme="minorBidi" w:hAnsiTheme="minorBidi"/>
                <w:sz w:val="20"/>
                <w:szCs w:val="20"/>
              </w:rPr>
              <w:t>Known hypersensitivity to any component of the product.</w:t>
            </w:r>
          </w:p>
        </w:tc>
        <w:tc>
          <w:tcPr>
            <w:tcW w:w="3403" w:type="dxa"/>
          </w:tcPr>
          <w:p w:rsidR="00804173" w:rsidRPr="00166B8E" w:rsidRDefault="00804173" w:rsidP="00804173">
            <w:pPr>
              <w:pStyle w:val="BodyText2CharChar"/>
              <w:tabs>
                <w:tab w:val="num" w:pos="900"/>
              </w:tabs>
              <w:ind w:firstLine="0"/>
              <w:rPr>
                <w:rFonts w:asciiTheme="minorBidi" w:hAnsiTheme="minorBidi" w:cstheme="minorBidi"/>
                <w:b/>
                <w:sz w:val="20"/>
                <w:szCs w:val="20"/>
                <w:u w:val="single"/>
              </w:rPr>
            </w:pPr>
            <w:r w:rsidRPr="00166B8E">
              <w:rPr>
                <w:rFonts w:asciiTheme="minorBidi" w:hAnsiTheme="minorBidi" w:cstheme="minorBidi"/>
                <w:sz w:val="20"/>
                <w:szCs w:val="20"/>
              </w:rPr>
              <w:t xml:space="preserve">Hypersensitivity to </w:t>
            </w:r>
            <w:r w:rsidRPr="00166B8E">
              <w:rPr>
                <w:rFonts w:asciiTheme="minorBidi" w:hAnsiTheme="minorBidi" w:cstheme="minorBidi"/>
                <w:bCs/>
                <w:sz w:val="20"/>
                <w:szCs w:val="20"/>
              </w:rPr>
              <w:t>INTEGRILIN</w:t>
            </w:r>
            <w:r w:rsidRPr="00166B8E">
              <w:rPr>
                <w:rFonts w:asciiTheme="minorBidi" w:hAnsiTheme="minorBidi" w:cstheme="minorBidi"/>
                <w:sz w:val="20"/>
                <w:szCs w:val="20"/>
              </w:rPr>
              <w:t xml:space="preserve"> or any component of the product </w:t>
            </w:r>
            <w:r w:rsidRPr="00166B8E">
              <w:rPr>
                <w:rFonts w:asciiTheme="minorBidi" w:hAnsiTheme="minorBidi" w:cstheme="minorBidi"/>
                <w:sz w:val="20"/>
                <w:szCs w:val="20"/>
                <w:highlight w:val="yellow"/>
                <w:u w:val="single"/>
              </w:rPr>
              <w:t xml:space="preserve">hypersensitivity reactions that </w:t>
            </w:r>
            <w:proofErr w:type="gramStart"/>
            <w:r w:rsidRPr="00166B8E">
              <w:rPr>
                <w:rFonts w:asciiTheme="minorBidi" w:hAnsiTheme="minorBidi" w:cstheme="minorBidi"/>
                <w:sz w:val="20"/>
                <w:szCs w:val="20"/>
                <w:highlight w:val="yellow"/>
                <w:u w:val="single"/>
              </w:rPr>
              <w:t>occurred</w:t>
            </w:r>
            <w:proofErr w:type="gramEnd"/>
            <w:r w:rsidRPr="00166B8E">
              <w:rPr>
                <w:rFonts w:asciiTheme="minorBidi" w:hAnsiTheme="minorBidi" w:cstheme="minorBidi"/>
                <w:sz w:val="20"/>
                <w:szCs w:val="20"/>
                <w:highlight w:val="yellow"/>
                <w:u w:val="single"/>
              </w:rPr>
              <w:t xml:space="preserve"> included anaphylaxis and </w:t>
            </w:r>
            <w:proofErr w:type="spellStart"/>
            <w:r w:rsidRPr="00166B8E">
              <w:rPr>
                <w:rFonts w:asciiTheme="minorBidi" w:hAnsiTheme="minorBidi" w:cstheme="minorBidi"/>
                <w:sz w:val="20"/>
                <w:szCs w:val="20"/>
                <w:highlight w:val="yellow"/>
                <w:u w:val="single"/>
              </w:rPr>
              <w:t>urticaria</w:t>
            </w:r>
            <w:proofErr w:type="spellEnd"/>
            <w:r w:rsidRPr="00166B8E">
              <w:rPr>
                <w:rFonts w:asciiTheme="minorBidi" w:hAnsiTheme="minorBidi" w:cstheme="minorBidi"/>
                <w:sz w:val="20"/>
                <w:szCs w:val="20"/>
                <w:highlight w:val="yellow"/>
                <w:u w:val="single"/>
              </w:rPr>
              <w:t>).</w:t>
            </w:r>
          </w:p>
          <w:p w:rsidR="00804173" w:rsidRPr="00166B8E" w:rsidRDefault="00804173" w:rsidP="00804173">
            <w:pPr>
              <w:bidi w:val="0"/>
              <w:rPr>
                <w:rFonts w:asciiTheme="minorBidi" w:hAnsiTheme="minorBidi"/>
                <w:sz w:val="20"/>
                <w:szCs w:val="20"/>
                <w:rtl/>
              </w:rPr>
            </w:pPr>
          </w:p>
        </w:tc>
      </w:tr>
      <w:tr w:rsidR="00804173" w:rsidTr="00166B8E">
        <w:tc>
          <w:tcPr>
            <w:tcW w:w="2410" w:type="dxa"/>
          </w:tcPr>
          <w:p w:rsidR="00804173" w:rsidRPr="00804173" w:rsidRDefault="00804173" w:rsidP="00804173">
            <w:pPr>
              <w:keepNext/>
              <w:keepLines/>
              <w:tabs>
                <w:tab w:val="right" w:pos="34"/>
              </w:tabs>
              <w:bidi w:val="0"/>
              <w:outlineLvl w:val="0"/>
              <w:rPr>
                <w:rFonts w:asciiTheme="minorBidi" w:eastAsia="Times New Roman" w:hAnsiTheme="minorBidi"/>
                <w:i/>
                <w:caps/>
                <w:sz w:val="20"/>
                <w:szCs w:val="20"/>
              </w:rPr>
            </w:pPr>
            <w:r w:rsidRPr="00804173">
              <w:rPr>
                <w:rFonts w:asciiTheme="minorBidi" w:eastAsia="Times New Roman" w:hAnsiTheme="minorBidi"/>
                <w:b/>
                <w:caps/>
                <w:sz w:val="20"/>
                <w:szCs w:val="20"/>
              </w:rPr>
              <w:t xml:space="preserve">Warnings and precautions- </w:t>
            </w:r>
          </w:p>
          <w:p w:rsidR="00804173" w:rsidRPr="00166B8E" w:rsidRDefault="00804173" w:rsidP="00804173">
            <w:pPr>
              <w:bidi w:val="0"/>
              <w:rPr>
                <w:rFonts w:asciiTheme="minorBidi" w:hAnsiTheme="minorBidi"/>
                <w:sz w:val="20"/>
                <w:szCs w:val="20"/>
                <w:rtl/>
              </w:rPr>
            </w:pPr>
            <w:r w:rsidRPr="00166B8E">
              <w:rPr>
                <w:rFonts w:asciiTheme="minorBidi" w:hAnsiTheme="minorBidi"/>
                <w:i/>
                <w:iCs/>
                <w:sz w:val="20"/>
                <w:szCs w:val="20"/>
              </w:rPr>
              <w:t>Bleeding</w:t>
            </w:r>
          </w:p>
        </w:tc>
        <w:tc>
          <w:tcPr>
            <w:tcW w:w="3402" w:type="dxa"/>
          </w:tcPr>
          <w:p w:rsidR="00804173" w:rsidRPr="00166B8E" w:rsidRDefault="00804173" w:rsidP="00804173">
            <w:pPr>
              <w:bidi w:val="0"/>
              <w:rPr>
                <w:rFonts w:asciiTheme="minorBidi" w:hAnsiTheme="minorBidi"/>
                <w:sz w:val="20"/>
                <w:szCs w:val="20"/>
                <w:rtl/>
              </w:rPr>
            </w:pPr>
            <w:r w:rsidRPr="00166B8E">
              <w:rPr>
                <w:rStyle w:val="PageNumber"/>
                <w:rFonts w:asciiTheme="minorBidi" w:hAnsiTheme="minorBidi"/>
                <w:sz w:val="20"/>
                <w:szCs w:val="20"/>
              </w:rPr>
              <w:t xml:space="preserve">Because </w:t>
            </w:r>
            <w:proofErr w:type="spellStart"/>
            <w:r w:rsidRPr="00166B8E">
              <w:rPr>
                <w:rStyle w:val="PageNumber"/>
                <w:rFonts w:asciiTheme="minorBidi" w:hAnsiTheme="minorBidi"/>
                <w:sz w:val="20"/>
                <w:szCs w:val="20"/>
              </w:rPr>
              <w:t>eptifibatide</w:t>
            </w:r>
            <w:proofErr w:type="spellEnd"/>
            <w:r w:rsidRPr="00166B8E">
              <w:rPr>
                <w:rStyle w:val="PageNumber"/>
                <w:rFonts w:asciiTheme="minorBidi" w:hAnsiTheme="minorBidi"/>
                <w:sz w:val="20"/>
                <w:szCs w:val="20"/>
              </w:rPr>
              <w:t xml:space="preserve"> inhibits platelet aggregation, caution should be employed when it is used with other drugs that affect hemostasis, including </w:t>
            </w:r>
            <w:proofErr w:type="spellStart"/>
            <w:r w:rsidRPr="00166B8E">
              <w:rPr>
                <w:rFonts w:asciiTheme="minorBidi" w:hAnsiTheme="minorBidi"/>
                <w:sz w:val="20"/>
                <w:szCs w:val="20"/>
              </w:rPr>
              <w:t>thrombolytics</w:t>
            </w:r>
            <w:proofErr w:type="spellEnd"/>
            <w:r w:rsidRPr="00166B8E">
              <w:rPr>
                <w:rFonts w:asciiTheme="minorBidi" w:hAnsiTheme="minorBidi"/>
                <w:sz w:val="20"/>
                <w:szCs w:val="20"/>
              </w:rPr>
              <w:t xml:space="preserve">, oral anticoagulants, </w:t>
            </w:r>
            <w:proofErr w:type="spellStart"/>
            <w:r w:rsidRPr="00166B8E">
              <w:rPr>
                <w:rFonts w:asciiTheme="minorBidi" w:hAnsiTheme="minorBidi"/>
                <w:sz w:val="20"/>
                <w:szCs w:val="20"/>
              </w:rPr>
              <w:t>nonsteroidal</w:t>
            </w:r>
            <w:proofErr w:type="spellEnd"/>
            <w:r w:rsidRPr="00166B8E">
              <w:rPr>
                <w:rFonts w:asciiTheme="minorBidi" w:hAnsiTheme="minorBidi"/>
                <w:noProof/>
                <w:sz w:val="20"/>
                <w:szCs w:val="20"/>
              </w:rPr>
              <w:t xml:space="preserve"> </w:t>
            </w:r>
            <w:r w:rsidRPr="00166B8E">
              <w:rPr>
                <w:rFonts w:asciiTheme="minorBidi" w:hAnsiTheme="minorBidi"/>
                <w:sz w:val="20"/>
                <w:szCs w:val="20"/>
              </w:rPr>
              <w:t xml:space="preserve">anti-inflammatory drugs, and </w:t>
            </w:r>
            <w:proofErr w:type="spellStart"/>
            <w:r w:rsidRPr="00166B8E">
              <w:rPr>
                <w:rFonts w:asciiTheme="minorBidi" w:hAnsiTheme="minorBidi"/>
                <w:sz w:val="20"/>
                <w:szCs w:val="20"/>
              </w:rPr>
              <w:t>dipyridamole</w:t>
            </w:r>
            <w:proofErr w:type="spellEnd"/>
            <w:r w:rsidRPr="00166B8E">
              <w:rPr>
                <w:rFonts w:asciiTheme="minorBidi" w:hAnsiTheme="minorBidi"/>
                <w:sz w:val="20"/>
                <w:szCs w:val="20"/>
              </w:rPr>
              <w:t>.</w:t>
            </w:r>
            <w:r w:rsidRPr="00166B8E">
              <w:rPr>
                <w:rStyle w:val="PageNumber"/>
                <w:rFonts w:asciiTheme="minorBidi" w:hAnsiTheme="minorBidi"/>
                <w:sz w:val="20"/>
                <w:szCs w:val="20"/>
              </w:rPr>
              <w:t xml:space="preserve"> To avoid potentially additive pharmacologic effects, concomitant treatment with </w:t>
            </w:r>
            <w:r w:rsidRPr="00166B8E">
              <w:rPr>
                <w:rFonts w:asciiTheme="minorBidi" w:hAnsiTheme="minorBidi"/>
                <w:sz w:val="20"/>
                <w:szCs w:val="20"/>
              </w:rPr>
              <w:t xml:space="preserve">other inhibitors of platelet receptor GP </w:t>
            </w:r>
            <w:proofErr w:type="spellStart"/>
            <w:r w:rsidRPr="00166B8E">
              <w:rPr>
                <w:rFonts w:asciiTheme="minorBidi" w:hAnsiTheme="minorBidi"/>
                <w:sz w:val="20"/>
                <w:szCs w:val="20"/>
              </w:rPr>
              <w:t>IIb</w:t>
            </w:r>
            <w:proofErr w:type="spellEnd"/>
            <w:r w:rsidRPr="00166B8E">
              <w:rPr>
                <w:rFonts w:asciiTheme="minorBidi" w:hAnsiTheme="minorBidi"/>
                <w:sz w:val="20"/>
                <w:szCs w:val="20"/>
              </w:rPr>
              <w:t>/</w:t>
            </w:r>
            <w:proofErr w:type="spellStart"/>
            <w:r w:rsidRPr="00166B8E">
              <w:rPr>
                <w:rFonts w:asciiTheme="minorBidi" w:hAnsiTheme="minorBidi"/>
                <w:sz w:val="20"/>
                <w:szCs w:val="20"/>
              </w:rPr>
              <w:t>IIIa</w:t>
            </w:r>
            <w:proofErr w:type="spellEnd"/>
            <w:r w:rsidRPr="00166B8E">
              <w:rPr>
                <w:rStyle w:val="PageNumber"/>
                <w:rFonts w:asciiTheme="minorBidi" w:hAnsiTheme="minorBidi"/>
                <w:sz w:val="20"/>
                <w:szCs w:val="20"/>
              </w:rPr>
              <w:t xml:space="preserve"> should be avoided</w:t>
            </w:r>
          </w:p>
        </w:tc>
        <w:tc>
          <w:tcPr>
            <w:tcW w:w="3403" w:type="dxa"/>
          </w:tcPr>
          <w:p w:rsidR="00804173" w:rsidRPr="00F10FED" w:rsidRDefault="00804173" w:rsidP="00804173">
            <w:pPr>
              <w:pStyle w:val="SubSubSectionheading"/>
              <w:rPr>
                <w:rFonts w:asciiTheme="minorBidi" w:hAnsiTheme="minorBidi" w:cstheme="minorBidi"/>
                <w:bCs/>
                <w:iCs/>
              </w:rPr>
            </w:pPr>
            <w:r w:rsidRPr="00F10FED">
              <w:rPr>
                <w:rFonts w:asciiTheme="minorBidi" w:hAnsiTheme="minorBidi" w:cstheme="minorBidi"/>
                <w:bCs/>
                <w:iCs/>
              </w:rPr>
              <w:t xml:space="preserve">Use of </w:t>
            </w:r>
            <w:proofErr w:type="spellStart"/>
            <w:r w:rsidRPr="00F10FED">
              <w:rPr>
                <w:rFonts w:asciiTheme="minorBidi" w:hAnsiTheme="minorBidi" w:cstheme="minorBidi"/>
                <w:bCs/>
                <w:iCs/>
              </w:rPr>
              <w:t>Thrombolytics</w:t>
            </w:r>
            <w:proofErr w:type="spellEnd"/>
            <w:r w:rsidRPr="00F10FED">
              <w:rPr>
                <w:rFonts w:asciiTheme="minorBidi" w:hAnsiTheme="minorBidi" w:cstheme="minorBidi"/>
                <w:bCs/>
                <w:iCs/>
              </w:rPr>
              <w:t>, Anticoagulants, and Other Antiplatelet Agents</w:t>
            </w:r>
            <w:r w:rsidR="00F10FED">
              <w:rPr>
                <w:rFonts w:asciiTheme="minorBidi" w:hAnsiTheme="minorBidi" w:cstheme="minorBidi"/>
                <w:bCs/>
                <w:iCs/>
              </w:rPr>
              <w:t>-</w:t>
            </w:r>
          </w:p>
          <w:p w:rsidR="00804173" w:rsidRPr="00166B8E" w:rsidRDefault="00804173" w:rsidP="00804173">
            <w:pPr>
              <w:pStyle w:val="BodyText1"/>
              <w:ind w:firstLine="0"/>
              <w:rPr>
                <w:rFonts w:asciiTheme="minorBidi" w:hAnsiTheme="minorBidi" w:cstheme="minorBidi"/>
                <w:sz w:val="20"/>
                <w:szCs w:val="20"/>
              </w:rPr>
            </w:pPr>
            <w:r w:rsidRPr="00166B8E">
              <w:rPr>
                <w:rFonts w:asciiTheme="minorBidi" w:hAnsiTheme="minorBidi" w:cstheme="minorBidi"/>
                <w:sz w:val="20"/>
                <w:szCs w:val="20"/>
                <w:highlight w:val="yellow"/>
                <w:u w:val="single"/>
              </w:rPr>
              <w:t>Risk factors for bleeding include older age, a history of bleeding disorders, and concomitant use of drugs that increase the risk of bleeding</w:t>
            </w:r>
            <w:r w:rsidRPr="00166B8E">
              <w:rPr>
                <w:rFonts w:asciiTheme="minorBidi" w:hAnsiTheme="minorBidi" w:cstheme="minorBidi"/>
                <w:sz w:val="20"/>
                <w:szCs w:val="20"/>
              </w:rPr>
              <w:t xml:space="preserve"> (</w:t>
            </w:r>
            <w:proofErr w:type="spellStart"/>
            <w:r w:rsidRPr="00166B8E">
              <w:rPr>
                <w:rFonts w:asciiTheme="minorBidi" w:hAnsiTheme="minorBidi" w:cstheme="minorBidi"/>
                <w:sz w:val="20"/>
                <w:szCs w:val="20"/>
              </w:rPr>
              <w:t>thrombolytics</w:t>
            </w:r>
            <w:proofErr w:type="spellEnd"/>
            <w:r w:rsidRPr="00166B8E">
              <w:rPr>
                <w:rFonts w:asciiTheme="minorBidi" w:hAnsiTheme="minorBidi" w:cstheme="minorBidi"/>
                <w:sz w:val="20"/>
                <w:szCs w:val="20"/>
              </w:rPr>
              <w:t xml:space="preserve">, oral anticoagulants, </w:t>
            </w:r>
            <w:proofErr w:type="spellStart"/>
            <w:r w:rsidRPr="00166B8E">
              <w:rPr>
                <w:rFonts w:asciiTheme="minorBidi" w:hAnsiTheme="minorBidi" w:cstheme="minorBidi"/>
                <w:sz w:val="20"/>
                <w:szCs w:val="20"/>
              </w:rPr>
              <w:t>nonsteroidal</w:t>
            </w:r>
            <w:proofErr w:type="spellEnd"/>
            <w:r w:rsidRPr="00166B8E">
              <w:rPr>
                <w:rFonts w:asciiTheme="minorBidi" w:hAnsiTheme="minorBidi" w:cstheme="minorBidi"/>
                <w:sz w:val="20"/>
                <w:szCs w:val="20"/>
              </w:rPr>
              <w:t xml:space="preserve"> anti-inflammatory drugs, and P2Y</w:t>
            </w:r>
            <w:r w:rsidRPr="00166B8E">
              <w:rPr>
                <w:rFonts w:asciiTheme="minorBidi" w:hAnsiTheme="minorBidi" w:cstheme="minorBidi"/>
                <w:sz w:val="20"/>
                <w:szCs w:val="20"/>
                <w:vertAlign w:val="subscript"/>
              </w:rPr>
              <w:t>12</w:t>
            </w:r>
            <w:r w:rsidRPr="00166B8E">
              <w:rPr>
                <w:rFonts w:asciiTheme="minorBidi" w:hAnsiTheme="minorBidi" w:cstheme="minorBidi"/>
                <w:sz w:val="20"/>
                <w:szCs w:val="20"/>
              </w:rPr>
              <w:t xml:space="preserve"> inhibitors). Concomitant treatment with other inhibitors of platelet receptor glycoprotein (GP) </w:t>
            </w:r>
            <w:proofErr w:type="spellStart"/>
            <w:r w:rsidRPr="00166B8E">
              <w:rPr>
                <w:rFonts w:asciiTheme="minorBidi" w:hAnsiTheme="minorBidi" w:cstheme="minorBidi"/>
                <w:sz w:val="20"/>
                <w:szCs w:val="20"/>
              </w:rPr>
              <w:t>IIb</w:t>
            </w:r>
            <w:proofErr w:type="spellEnd"/>
            <w:r w:rsidRPr="00166B8E">
              <w:rPr>
                <w:rFonts w:asciiTheme="minorBidi" w:hAnsiTheme="minorBidi" w:cstheme="minorBidi"/>
                <w:sz w:val="20"/>
                <w:szCs w:val="20"/>
              </w:rPr>
              <w:t>/</w:t>
            </w:r>
            <w:proofErr w:type="spellStart"/>
            <w:r w:rsidRPr="00166B8E">
              <w:rPr>
                <w:rFonts w:asciiTheme="minorBidi" w:hAnsiTheme="minorBidi" w:cstheme="minorBidi"/>
                <w:sz w:val="20"/>
                <w:szCs w:val="20"/>
              </w:rPr>
              <w:t>IIIa</w:t>
            </w:r>
            <w:proofErr w:type="spellEnd"/>
            <w:r w:rsidRPr="00166B8E">
              <w:rPr>
                <w:rFonts w:asciiTheme="minorBidi" w:hAnsiTheme="minorBidi" w:cstheme="minorBidi"/>
                <w:sz w:val="20"/>
                <w:szCs w:val="20"/>
              </w:rPr>
              <w:t xml:space="preserve"> should be avoided. In patients treated with heparin, bleeding can be minimized by close monitoring of the </w:t>
            </w:r>
            <w:proofErr w:type="spellStart"/>
            <w:r w:rsidRPr="00166B8E">
              <w:rPr>
                <w:rFonts w:asciiTheme="minorBidi" w:hAnsiTheme="minorBidi" w:cstheme="minorBidi"/>
                <w:sz w:val="20"/>
                <w:szCs w:val="20"/>
              </w:rPr>
              <w:t>aPTT</w:t>
            </w:r>
            <w:proofErr w:type="spellEnd"/>
            <w:r w:rsidRPr="00166B8E">
              <w:rPr>
                <w:rFonts w:asciiTheme="minorBidi" w:hAnsiTheme="minorBidi" w:cstheme="minorBidi"/>
                <w:sz w:val="20"/>
                <w:szCs w:val="20"/>
              </w:rPr>
              <w:t xml:space="preserve"> and ACT </w:t>
            </w:r>
            <w:r w:rsidRPr="00166B8E">
              <w:rPr>
                <w:rFonts w:asciiTheme="minorBidi" w:hAnsiTheme="minorBidi" w:cstheme="minorBidi"/>
                <w:i/>
                <w:sz w:val="20"/>
                <w:szCs w:val="20"/>
              </w:rPr>
              <w:t>[see Dosage and Administration (2)]</w:t>
            </w:r>
            <w:r w:rsidRPr="00166B8E">
              <w:rPr>
                <w:rFonts w:asciiTheme="minorBidi" w:hAnsiTheme="minorBidi" w:cstheme="minorBidi"/>
                <w:sz w:val="20"/>
                <w:szCs w:val="20"/>
              </w:rPr>
              <w:t>.</w:t>
            </w:r>
          </w:p>
          <w:p w:rsidR="00804173" w:rsidRPr="00166B8E" w:rsidRDefault="00804173" w:rsidP="00804173">
            <w:pPr>
              <w:bidi w:val="0"/>
              <w:rPr>
                <w:rFonts w:asciiTheme="minorBidi" w:hAnsiTheme="minorBidi"/>
                <w:sz w:val="20"/>
                <w:szCs w:val="20"/>
                <w:rtl/>
              </w:rPr>
            </w:pPr>
          </w:p>
        </w:tc>
      </w:tr>
      <w:tr w:rsidR="00804173" w:rsidTr="00166B8E">
        <w:tc>
          <w:tcPr>
            <w:tcW w:w="2410" w:type="dxa"/>
          </w:tcPr>
          <w:p w:rsidR="00804173" w:rsidRPr="00166B8E" w:rsidRDefault="00944413" w:rsidP="00804173">
            <w:pPr>
              <w:bidi w:val="0"/>
              <w:rPr>
                <w:rFonts w:asciiTheme="minorBidi" w:hAnsiTheme="minorBidi"/>
                <w:sz w:val="20"/>
                <w:szCs w:val="20"/>
                <w:rtl/>
              </w:rPr>
            </w:pPr>
            <w:bookmarkStart w:id="0" w:name="_Toc185389427"/>
            <w:bookmarkStart w:id="1" w:name="_Toc185390256"/>
            <w:bookmarkStart w:id="2" w:name="_Toc185390308"/>
            <w:bookmarkStart w:id="3" w:name="_Toc185390360"/>
            <w:bookmarkStart w:id="4" w:name="_Toc196733328"/>
            <w:r w:rsidRPr="00166B8E">
              <w:rPr>
                <w:rFonts w:asciiTheme="minorBidi" w:eastAsia="Times New Roman" w:hAnsiTheme="minorBidi"/>
                <w:b/>
                <w:caps/>
                <w:sz w:val="20"/>
                <w:szCs w:val="20"/>
                <w:lang w:eastAsia="ja-JP" w:bidi="ar-SA"/>
              </w:rPr>
              <w:t xml:space="preserve">Warnings and </w:t>
            </w:r>
            <w:r w:rsidRPr="00376B74">
              <w:rPr>
                <w:rFonts w:asciiTheme="minorBidi" w:eastAsia="Times New Roman" w:hAnsiTheme="minorBidi"/>
                <w:b/>
                <w:caps/>
                <w:sz w:val="20"/>
                <w:szCs w:val="20"/>
                <w:lang w:eastAsia="ja-JP" w:bidi="ar-SA"/>
              </w:rPr>
              <w:t>precautions</w:t>
            </w:r>
            <w:bookmarkEnd w:id="0"/>
            <w:bookmarkEnd w:id="1"/>
            <w:bookmarkEnd w:id="2"/>
            <w:bookmarkEnd w:id="3"/>
            <w:bookmarkEnd w:id="4"/>
            <w:r w:rsidRPr="00166B8E">
              <w:rPr>
                <w:rFonts w:asciiTheme="minorBidi" w:eastAsia="Times New Roman" w:hAnsiTheme="minorBidi"/>
                <w:b/>
                <w:caps/>
                <w:sz w:val="20"/>
                <w:szCs w:val="20"/>
                <w:lang w:eastAsia="ja-JP" w:bidi="ar-SA"/>
              </w:rPr>
              <w:t xml:space="preserve">- </w:t>
            </w:r>
            <w:r w:rsidRPr="00166B8E">
              <w:rPr>
                <w:rFonts w:asciiTheme="minorBidi" w:hAnsiTheme="minorBidi"/>
                <w:bCs/>
                <w:i/>
                <w:sz w:val="20"/>
                <w:szCs w:val="20"/>
              </w:rPr>
              <w:t>Thrombocytopenia</w:t>
            </w:r>
          </w:p>
        </w:tc>
        <w:tc>
          <w:tcPr>
            <w:tcW w:w="3402" w:type="dxa"/>
          </w:tcPr>
          <w:p w:rsidR="00944413" w:rsidRPr="00944413" w:rsidRDefault="00944413" w:rsidP="00944413">
            <w:pPr>
              <w:bidi w:val="0"/>
              <w:rPr>
                <w:rFonts w:asciiTheme="minorBidi" w:eastAsia="Times New Roman" w:hAnsiTheme="minorBidi"/>
                <w:sz w:val="20"/>
                <w:szCs w:val="20"/>
                <w:lang w:bidi="ar-SA"/>
              </w:rPr>
            </w:pPr>
            <w:r w:rsidRPr="00944413">
              <w:rPr>
                <w:rFonts w:asciiTheme="minorBidi" w:eastAsia="Times New Roman" w:hAnsiTheme="minorBidi"/>
                <w:sz w:val="20"/>
                <w:szCs w:val="20"/>
                <w:lang w:bidi="ar-SA"/>
              </w:rPr>
              <w:t>In the event of acute profound thrombocytopenia or a confirmed platelet decrease to &lt;100,000/mm</w:t>
            </w:r>
            <w:r w:rsidRPr="00944413">
              <w:rPr>
                <w:rFonts w:asciiTheme="minorBidi" w:eastAsia="Times New Roman" w:hAnsiTheme="minorBidi"/>
                <w:sz w:val="20"/>
                <w:szCs w:val="20"/>
                <w:vertAlign w:val="superscript"/>
                <w:lang w:bidi="ar-SA"/>
              </w:rPr>
              <w:t>3</w:t>
            </w:r>
            <w:r w:rsidRPr="00944413">
              <w:rPr>
                <w:rFonts w:asciiTheme="minorBidi" w:eastAsia="Times New Roman" w:hAnsiTheme="minorBidi"/>
                <w:sz w:val="20"/>
                <w:szCs w:val="20"/>
                <w:lang w:bidi="ar-SA"/>
              </w:rPr>
              <w:t>, discontinue INTEGRILIN and heparin (unfractionated or low-molecular-weight). Monitor serial platelet counts, assess the presence of drug-dependent antibodies, and treat as appropriate (see ADVERSE REACTIONS, Immunogenicity).</w:t>
            </w:r>
          </w:p>
          <w:p w:rsidR="00944413" w:rsidRPr="00944413" w:rsidRDefault="00944413" w:rsidP="00944413">
            <w:pPr>
              <w:bidi w:val="0"/>
              <w:adjustRightInd w:val="0"/>
              <w:rPr>
                <w:rFonts w:asciiTheme="minorBidi" w:eastAsia="Times New Roman" w:hAnsiTheme="minorBidi"/>
                <w:sz w:val="20"/>
                <w:szCs w:val="20"/>
                <w:lang w:bidi="ar-SA"/>
              </w:rPr>
            </w:pPr>
          </w:p>
          <w:p w:rsidR="00944413" w:rsidRPr="00944413" w:rsidRDefault="00944413" w:rsidP="00944413">
            <w:pPr>
              <w:bidi w:val="0"/>
              <w:rPr>
                <w:rFonts w:asciiTheme="minorBidi" w:eastAsia="Times New Roman" w:hAnsiTheme="minorBidi"/>
                <w:sz w:val="20"/>
                <w:szCs w:val="20"/>
                <w:lang w:bidi="ar-SA"/>
              </w:rPr>
            </w:pPr>
            <w:r w:rsidRPr="00944413">
              <w:rPr>
                <w:rFonts w:asciiTheme="minorBidi" w:eastAsia="Times New Roman" w:hAnsiTheme="minorBidi"/>
                <w:sz w:val="20"/>
                <w:szCs w:val="20"/>
                <w:lang w:bidi="ar-SA"/>
              </w:rPr>
              <w:t xml:space="preserve">There has been no clinical experience with </w:t>
            </w:r>
            <w:proofErr w:type="spellStart"/>
            <w:r w:rsidRPr="00944413">
              <w:rPr>
                <w:rFonts w:asciiTheme="minorBidi" w:eastAsia="Times New Roman" w:hAnsiTheme="minorBidi"/>
                <w:sz w:val="20"/>
                <w:szCs w:val="20"/>
                <w:lang w:bidi="ar-SA"/>
              </w:rPr>
              <w:t>eptifibatide</w:t>
            </w:r>
            <w:proofErr w:type="spellEnd"/>
            <w:r w:rsidRPr="00944413">
              <w:rPr>
                <w:rFonts w:asciiTheme="minorBidi" w:eastAsia="Times New Roman" w:hAnsiTheme="minorBidi"/>
                <w:sz w:val="20"/>
                <w:szCs w:val="20"/>
                <w:lang w:bidi="ar-SA"/>
              </w:rPr>
              <w:t xml:space="preserve"> initiated in patients with a baseline platelet count &lt;100,000/mm</w:t>
            </w:r>
            <w:r w:rsidRPr="00944413">
              <w:rPr>
                <w:rFonts w:asciiTheme="minorBidi" w:eastAsia="Times New Roman" w:hAnsiTheme="minorBidi"/>
                <w:sz w:val="20"/>
                <w:szCs w:val="20"/>
                <w:vertAlign w:val="superscript"/>
                <w:lang w:bidi="ar-SA"/>
              </w:rPr>
              <w:t>3</w:t>
            </w:r>
            <w:r w:rsidRPr="00944413">
              <w:rPr>
                <w:rFonts w:asciiTheme="minorBidi" w:eastAsia="Times New Roman" w:hAnsiTheme="minorBidi"/>
                <w:sz w:val="20"/>
                <w:szCs w:val="20"/>
                <w:lang w:bidi="ar-SA"/>
              </w:rPr>
              <w:t>. If a patient with low platelet counts is receiving INTEGRILIN, their platelet count should be monitored closely.</w:t>
            </w:r>
          </w:p>
          <w:p w:rsidR="00804173" w:rsidRPr="00166B8E" w:rsidRDefault="00804173" w:rsidP="00804173">
            <w:pPr>
              <w:bidi w:val="0"/>
              <w:rPr>
                <w:rFonts w:asciiTheme="minorBidi" w:hAnsiTheme="minorBidi"/>
                <w:sz w:val="20"/>
                <w:szCs w:val="20"/>
                <w:rtl/>
              </w:rPr>
            </w:pPr>
          </w:p>
        </w:tc>
        <w:tc>
          <w:tcPr>
            <w:tcW w:w="3403" w:type="dxa"/>
          </w:tcPr>
          <w:p w:rsidR="00944413" w:rsidRPr="00166B8E" w:rsidRDefault="00944413" w:rsidP="00F10FED">
            <w:pPr>
              <w:pStyle w:val="BodyText1"/>
              <w:ind w:hanging="5"/>
              <w:rPr>
                <w:rFonts w:asciiTheme="minorBidi" w:hAnsiTheme="minorBidi" w:cstheme="minorBidi"/>
                <w:sz w:val="20"/>
                <w:szCs w:val="20"/>
              </w:rPr>
            </w:pPr>
            <w:r w:rsidRPr="00166B8E">
              <w:rPr>
                <w:rFonts w:asciiTheme="minorBidi" w:hAnsiTheme="minorBidi" w:cstheme="minorBidi"/>
                <w:sz w:val="20"/>
                <w:szCs w:val="20"/>
                <w:highlight w:val="yellow"/>
                <w:u w:val="single"/>
              </w:rPr>
              <w:t xml:space="preserve">There have been reports of acute, profound thrombocytopenia (immune-mediated and non-immune mediated) with </w:t>
            </w:r>
            <w:r w:rsidRPr="00166B8E">
              <w:rPr>
                <w:rFonts w:asciiTheme="minorBidi" w:hAnsiTheme="minorBidi" w:cstheme="minorBidi"/>
                <w:bCs/>
                <w:sz w:val="20"/>
                <w:szCs w:val="20"/>
                <w:highlight w:val="yellow"/>
                <w:u w:val="single"/>
              </w:rPr>
              <w:t>INTEGRILIN</w:t>
            </w:r>
            <w:r w:rsidRPr="00166B8E">
              <w:rPr>
                <w:rFonts w:asciiTheme="minorBidi" w:hAnsiTheme="minorBidi" w:cstheme="minorBidi"/>
                <w:sz w:val="20"/>
                <w:szCs w:val="20"/>
              </w:rPr>
              <w:t>. In the event of acute profound thrombocytopenia or a confirmed platelet decrease to &lt;100,000/mm</w:t>
            </w:r>
            <w:r w:rsidRPr="00166B8E">
              <w:rPr>
                <w:rFonts w:asciiTheme="minorBidi" w:hAnsiTheme="minorBidi" w:cstheme="minorBidi"/>
                <w:sz w:val="20"/>
                <w:szCs w:val="20"/>
                <w:vertAlign w:val="superscript"/>
              </w:rPr>
              <w:t>3</w:t>
            </w:r>
            <w:r w:rsidRPr="00166B8E">
              <w:rPr>
                <w:rFonts w:asciiTheme="minorBidi" w:hAnsiTheme="minorBidi" w:cstheme="minorBidi"/>
                <w:sz w:val="20"/>
                <w:szCs w:val="20"/>
              </w:rPr>
              <w:t xml:space="preserve">, discontinue </w:t>
            </w:r>
            <w:r w:rsidRPr="00166B8E">
              <w:rPr>
                <w:rFonts w:asciiTheme="minorBidi" w:hAnsiTheme="minorBidi" w:cstheme="minorBidi"/>
                <w:bCs/>
                <w:sz w:val="20"/>
                <w:szCs w:val="20"/>
              </w:rPr>
              <w:t>INTEGRILIN</w:t>
            </w:r>
            <w:r w:rsidRPr="00166B8E">
              <w:rPr>
                <w:rFonts w:asciiTheme="minorBidi" w:hAnsiTheme="minorBidi" w:cstheme="minorBidi"/>
                <w:sz w:val="20"/>
                <w:szCs w:val="20"/>
              </w:rPr>
              <w:t xml:space="preserve"> and heparin (unfractionated or low-molecular weight). Monitor serial platelet counts, assess the presence of drug-dependent antibodies, and treat as appropriate </w:t>
            </w:r>
            <w:r w:rsidRPr="00166B8E">
              <w:rPr>
                <w:rFonts w:asciiTheme="minorBidi" w:hAnsiTheme="minorBidi" w:cstheme="minorBidi"/>
                <w:i/>
                <w:iCs/>
                <w:sz w:val="20"/>
                <w:szCs w:val="20"/>
              </w:rPr>
              <w:t>[see Adverse Reactions (6.1)]</w:t>
            </w:r>
            <w:r w:rsidRPr="00166B8E">
              <w:rPr>
                <w:rFonts w:asciiTheme="minorBidi" w:hAnsiTheme="minorBidi" w:cstheme="minorBidi"/>
                <w:sz w:val="20"/>
                <w:szCs w:val="20"/>
              </w:rPr>
              <w:t>.</w:t>
            </w:r>
          </w:p>
          <w:p w:rsidR="00944413" w:rsidRPr="00166B8E" w:rsidRDefault="00944413" w:rsidP="00F10FED">
            <w:pPr>
              <w:pStyle w:val="BodyText1"/>
              <w:ind w:firstLine="540"/>
              <w:rPr>
                <w:rFonts w:asciiTheme="minorBidi" w:hAnsiTheme="minorBidi" w:cstheme="minorBidi"/>
                <w:sz w:val="20"/>
                <w:szCs w:val="20"/>
              </w:rPr>
            </w:pPr>
            <w:r w:rsidRPr="00166B8E">
              <w:rPr>
                <w:rFonts w:asciiTheme="minorBidi" w:hAnsiTheme="minorBidi" w:cstheme="minorBidi"/>
                <w:sz w:val="20"/>
                <w:szCs w:val="20"/>
              </w:rPr>
              <w:t xml:space="preserve">There has been no clinical experience with </w:t>
            </w:r>
            <w:r w:rsidRPr="00166B8E">
              <w:rPr>
                <w:rFonts w:asciiTheme="minorBidi" w:hAnsiTheme="minorBidi" w:cstheme="minorBidi"/>
                <w:bCs/>
                <w:sz w:val="20"/>
                <w:szCs w:val="20"/>
              </w:rPr>
              <w:t>INTEGRILIN</w:t>
            </w:r>
            <w:r w:rsidRPr="00166B8E">
              <w:rPr>
                <w:rFonts w:asciiTheme="minorBidi" w:hAnsiTheme="minorBidi" w:cstheme="minorBidi"/>
                <w:sz w:val="20"/>
                <w:szCs w:val="20"/>
              </w:rPr>
              <w:t xml:space="preserve"> initiated in patients with a baseline platelet count &lt;100,000/mm</w:t>
            </w:r>
            <w:r w:rsidRPr="00166B8E">
              <w:rPr>
                <w:rFonts w:asciiTheme="minorBidi" w:hAnsiTheme="minorBidi" w:cstheme="minorBidi"/>
                <w:sz w:val="20"/>
                <w:szCs w:val="20"/>
                <w:vertAlign w:val="superscript"/>
              </w:rPr>
              <w:t>3</w:t>
            </w:r>
            <w:r w:rsidRPr="00166B8E">
              <w:rPr>
                <w:rFonts w:asciiTheme="minorBidi" w:hAnsiTheme="minorBidi" w:cstheme="minorBidi"/>
                <w:sz w:val="20"/>
                <w:szCs w:val="20"/>
              </w:rPr>
              <w:t xml:space="preserve">. If a patient with low platelet counts is receiving </w:t>
            </w:r>
            <w:r w:rsidRPr="00166B8E">
              <w:rPr>
                <w:rFonts w:asciiTheme="minorBidi" w:hAnsiTheme="minorBidi" w:cstheme="minorBidi"/>
                <w:bCs/>
                <w:sz w:val="20"/>
                <w:szCs w:val="20"/>
              </w:rPr>
              <w:t>INTEGRILIN</w:t>
            </w:r>
            <w:r w:rsidRPr="00166B8E">
              <w:rPr>
                <w:rFonts w:asciiTheme="minorBidi" w:hAnsiTheme="minorBidi" w:cstheme="minorBidi"/>
                <w:sz w:val="20"/>
                <w:szCs w:val="20"/>
              </w:rPr>
              <w:t>, their platelet count should be monitored closely.</w:t>
            </w:r>
          </w:p>
          <w:p w:rsidR="00804173" w:rsidRDefault="00804173" w:rsidP="00F10FED">
            <w:pPr>
              <w:bidi w:val="0"/>
              <w:jc w:val="right"/>
              <w:rPr>
                <w:rFonts w:asciiTheme="minorBidi" w:hAnsiTheme="minorBidi"/>
                <w:sz w:val="20"/>
                <w:szCs w:val="20"/>
              </w:rPr>
            </w:pPr>
          </w:p>
          <w:p w:rsidR="00166B8E" w:rsidRPr="00166B8E" w:rsidRDefault="00166B8E" w:rsidP="00166B8E">
            <w:pPr>
              <w:bidi w:val="0"/>
              <w:rPr>
                <w:rFonts w:asciiTheme="minorBidi" w:hAnsiTheme="minorBidi"/>
                <w:sz w:val="20"/>
                <w:szCs w:val="20"/>
                <w:rtl/>
              </w:rPr>
            </w:pPr>
          </w:p>
        </w:tc>
      </w:tr>
      <w:tr w:rsidR="00804173" w:rsidTr="00166B8E">
        <w:tc>
          <w:tcPr>
            <w:tcW w:w="2410" w:type="dxa"/>
          </w:tcPr>
          <w:p w:rsidR="00804173" w:rsidRPr="00166B8E" w:rsidRDefault="00944413" w:rsidP="00804173">
            <w:pPr>
              <w:bidi w:val="0"/>
              <w:rPr>
                <w:rFonts w:asciiTheme="minorBidi" w:hAnsiTheme="minorBidi"/>
                <w:sz w:val="20"/>
                <w:szCs w:val="20"/>
                <w:rtl/>
              </w:rPr>
            </w:pPr>
            <w:r w:rsidRPr="00166B8E">
              <w:rPr>
                <w:rFonts w:asciiTheme="minorBidi" w:eastAsia="Times New Roman" w:hAnsiTheme="minorBidi"/>
                <w:b/>
                <w:caps/>
                <w:sz w:val="20"/>
                <w:szCs w:val="20"/>
                <w:lang w:eastAsia="ja-JP" w:bidi="ar-SA"/>
              </w:rPr>
              <w:lastRenderedPageBreak/>
              <w:t xml:space="preserve">ADVERSE REACTIONS- </w:t>
            </w:r>
            <w:proofErr w:type="spellStart"/>
            <w:r w:rsidRPr="00166B8E">
              <w:rPr>
                <w:rFonts w:asciiTheme="minorBidi" w:hAnsiTheme="minorBidi"/>
                <w:bCs/>
                <w:i/>
                <w:sz w:val="20"/>
                <w:szCs w:val="20"/>
              </w:rPr>
              <w:t>Postmarketing</w:t>
            </w:r>
            <w:proofErr w:type="spellEnd"/>
            <w:r w:rsidRPr="00166B8E">
              <w:rPr>
                <w:rFonts w:asciiTheme="minorBidi" w:hAnsiTheme="minorBidi"/>
                <w:bCs/>
                <w:i/>
                <w:sz w:val="20"/>
                <w:szCs w:val="20"/>
              </w:rPr>
              <w:t xml:space="preserve"> Experience</w:t>
            </w:r>
          </w:p>
        </w:tc>
        <w:tc>
          <w:tcPr>
            <w:tcW w:w="3402" w:type="dxa"/>
          </w:tcPr>
          <w:p w:rsidR="00944413" w:rsidRPr="00166B8E" w:rsidRDefault="00944413" w:rsidP="00944413">
            <w:pPr>
              <w:pStyle w:val="PARA"/>
              <w:spacing w:before="0" w:line="240" w:lineRule="auto"/>
              <w:rPr>
                <w:rFonts w:asciiTheme="minorBidi" w:hAnsiTheme="minorBidi" w:cstheme="minorBidi"/>
                <w:sz w:val="20"/>
              </w:rPr>
            </w:pPr>
            <w:r w:rsidRPr="00166B8E">
              <w:rPr>
                <w:rFonts w:asciiTheme="minorBidi" w:hAnsiTheme="minorBidi" w:cstheme="minorBidi"/>
                <w:sz w:val="20"/>
              </w:rPr>
              <w:t xml:space="preserve">Additional adverse events reported during use of INTEGRILIN include anaphylaxis, rash and application site disorders such as </w:t>
            </w:r>
            <w:proofErr w:type="spellStart"/>
            <w:r w:rsidRPr="00166B8E">
              <w:rPr>
                <w:rFonts w:asciiTheme="minorBidi" w:hAnsiTheme="minorBidi" w:cstheme="minorBidi"/>
                <w:sz w:val="20"/>
              </w:rPr>
              <w:t>urticaria</w:t>
            </w:r>
            <w:proofErr w:type="spellEnd"/>
            <w:r w:rsidRPr="00166B8E">
              <w:rPr>
                <w:rFonts w:asciiTheme="minorBidi" w:hAnsiTheme="minorBidi" w:cstheme="minorBidi"/>
                <w:sz w:val="20"/>
              </w:rPr>
              <w:t>. Very rare cases of fatal bleeding have also been reported. Cases of acute profound thrombocytopenia have been reported very rarely. Very rare cases of fatal bleeding have been reported. Cases of pulmonary hemorrhage have</w:t>
            </w:r>
            <w:r w:rsidRPr="00166B8E">
              <w:rPr>
                <w:rFonts w:asciiTheme="minorBidi" w:hAnsiTheme="minorBidi" w:cstheme="minorBidi"/>
                <w:b/>
                <w:bCs/>
                <w:color w:val="FF0000"/>
                <w:sz w:val="20"/>
              </w:rPr>
              <w:t xml:space="preserve"> </w:t>
            </w:r>
            <w:r w:rsidRPr="00166B8E">
              <w:rPr>
                <w:rFonts w:asciiTheme="minorBidi" w:hAnsiTheme="minorBidi" w:cstheme="minorBidi"/>
                <w:sz w:val="20"/>
              </w:rPr>
              <w:t>also been reported very rarely.</w:t>
            </w:r>
            <w:r w:rsidRPr="00166B8E">
              <w:rPr>
                <w:rFonts w:asciiTheme="minorBidi" w:hAnsiTheme="minorBidi" w:cstheme="minorBidi"/>
                <w:color w:val="FF0000"/>
                <w:sz w:val="20"/>
              </w:rPr>
              <w:t xml:space="preserve"> </w:t>
            </w:r>
            <w:r w:rsidRPr="00166B8E">
              <w:rPr>
                <w:rFonts w:asciiTheme="minorBidi" w:hAnsiTheme="minorBidi" w:cstheme="minorBidi"/>
                <w:sz w:val="20"/>
              </w:rPr>
              <w:t>Acute profound thrombocytopenia, as well as immune-mediated thrombocytopenia, has been reported (see ADVERSE REACTIONS, Immunogenicity).</w:t>
            </w:r>
          </w:p>
          <w:p w:rsidR="00804173" w:rsidRPr="00166B8E" w:rsidRDefault="00804173" w:rsidP="00804173">
            <w:pPr>
              <w:bidi w:val="0"/>
              <w:rPr>
                <w:rFonts w:asciiTheme="minorBidi" w:hAnsiTheme="minorBidi"/>
                <w:sz w:val="20"/>
                <w:szCs w:val="20"/>
                <w:rtl/>
              </w:rPr>
            </w:pPr>
          </w:p>
        </w:tc>
        <w:tc>
          <w:tcPr>
            <w:tcW w:w="3403" w:type="dxa"/>
          </w:tcPr>
          <w:p w:rsidR="00944413" w:rsidRPr="00166B8E" w:rsidRDefault="00944413" w:rsidP="00944413">
            <w:pPr>
              <w:pStyle w:val="BodyText1"/>
              <w:ind w:hanging="5"/>
              <w:jc w:val="both"/>
              <w:rPr>
                <w:rFonts w:asciiTheme="minorBidi" w:hAnsiTheme="minorBidi" w:cstheme="minorBidi"/>
                <w:sz w:val="20"/>
                <w:szCs w:val="20"/>
              </w:rPr>
            </w:pPr>
            <w:r w:rsidRPr="00166B8E">
              <w:rPr>
                <w:rFonts w:asciiTheme="minorBidi" w:hAnsiTheme="minorBidi" w:cstheme="minorBidi"/>
                <w:sz w:val="20"/>
                <w:szCs w:val="20"/>
              </w:rPr>
              <w:t xml:space="preserve">The following adverse reactions have been reported in </w:t>
            </w:r>
            <w:proofErr w:type="spellStart"/>
            <w:r w:rsidRPr="00166B8E">
              <w:rPr>
                <w:rFonts w:asciiTheme="minorBidi" w:hAnsiTheme="minorBidi" w:cstheme="minorBidi"/>
                <w:sz w:val="20"/>
                <w:szCs w:val="20"/>
              </w:rPr>
              <w:t>postmarketing</w:t>
            </w:r>
            <w:proofErr w:type="spellEnd"/>
            <w:r w:rsidRPr="00166B8E">
              <w:rPr>
                <w:rFonts w:asciiTheme="minorBidi" w:hAnsiTheme="minorBidi" w:cstheme="minorBidi"/>
                <w:sz w:val="20"/>
                <w:szCs w:val="20"/>
              </w:rPr>
              <w:t xml:space="preserve"> experience, primarily with INTEGRILIN in combination with heparin and aspirin: </w:t>
            </w:r>
            <w:r w:rsidRPr="00166B8E">
              <w:rPr>
                <w:rFonts w:asciiTheme="minorBidi" w:hAnsiTheme="minorBidi" w:cstheme="minorBidi"/>
                <w:sz w:val="20"/>
                <w:szCs w:val="20"/>
                <w:highlight w:val="yellow"/>
                <w:u w:val="single"/>
              </w:rPr>
              <w:t>cerebral, GI,</w:t>
            </w:r>
            <w:r w:rsidRPr="00166B8E">
              <w:rPr>
                <w:rFonts w:asciiTheme="minorBidi" w:hAnsiTheme="minorBidi" w:cstheme="minorBidi"/>
                <w:sz w:val="20"/>
                <w:szCs w:val="20"/>
                <w:highlight w:val="yellow"/>
              </w:rPr>
              <w:t xml:space="preserve"> </w:t>
            </w:r>
            <w:r w:rsidRPr="00166B8E">
              <w:rPr>
                <w:rFonts w:asciiTheme="minorBidi" w:hAnsiTheme="minorBidi" w:cstheme="minorBidi"/>
                <w:sz w:val="20"/>
                <w:szCs w:val="20"/>
              </w:rPr>
              <w:t xml:space="preserve">and pulmonary hemorrhage; anaphylaxis, rash and application site disorders such as </w:t>
            </w:r>
            <w:proofErr w:type="spellStart"/>
            <w:r w:rsidRPr="00166B8E">
              <w:rPr>
                <w:rFonts w:asciiTheme="minorBidi" w:hAnsiTheme="minorBidi" w:cstheme="minorBidi"/>
                <w:sz w:val="20"/>
                <w:szCs w:val="20"/>
              </w:rPr>
              <w:t>urticaria</w:t>
            </w:r>
            <w:proofErr w:type="spellEnd"/>
            <w:r w:rsidRPr="00166B8E">
              <w:rPr>
                <w:rFonts w:asciiTheme="minorBidi" w:hAnsiTheme="minorBidi" w:cstheme="minorBidi"/>
                <w:sz w:val="20"/>
                <w:szCs w:val="20"/>
              </w:rPr>
              <w:t>. Cases of pulmonary hemorrhage have</w:t>
            </w:r>
            <w:r w:rsidRPr="00166B8E">
              <w:rPr>
                <w:rFonts w:asciiTheme="minorBidi" w:hAnsiTheme="minorBidi" w:cstheme="minorBidi"/>
                <w:b/>
                <w:bCs/>
                <w:sz w:val="20"/>
                <w:szCs w:val="20"/>
              </w:rPr>
              <w:t xml:space="preserve"> </w:t>
            </w:r>
            <w:r w:rsidRPr="00166B8E">
              <w:rPr>
                <w:rFonts w:asciiTheme="minorBidi" w:hAnsiTheme="minorBidi" w:cstheme="minorBidi"/>
                <w:sz w:val="20"/>
                <w:szCs w:val="20"/>
              </w:rPr>
              <w:t xml:space="preserve">also been reported very rarely. Fatal bleeding reactions have been reported. Acute profound thrombocytopenia, as well as immune-mediated thrombocytopenia, has been reported </w:t>
            </w:r>
            <w:r w:rsidRPr="00166B8E">
              <w:rPr>
                <w:rFonts w:asciiTheme="minorBidi" w:hAnsiTheme="minorBidi" w:cstheme="minorBidi"/>
                <w:i/>
                <w:iCs/>
                <w:sz w:val="20"/>
                <w:szCs w:val="20"/>
              </w:rPr>
              <w:t>[see Adverse Reactions (6.1)]</w:t>
            </w:r>
            <w:r w:rsidRPr="00166B8E">
              <w:rPr>
                <w:rFonts w:asciiTheme="minorBidi" w:hAnsiTheme="minorBidi" w:cstheme="minorBidi"/>
                <w:sz w:val="20"/>
                <w:szCs w:val="20"/>
              </w:rPr>
              <w:t>.</w:t>
            </w:r>
          </w:p>
          <w:p w:rsidR="00804173" w:rsidRPr="00166B8E" w:rsidRDefault="00804173" w:rsidP="00804173">
            <w:pPr>
              <w:bidi w:val="0"/>
              <w:rPr>
                <w:rFonts w:asciiTheme="minorBidi" w:hAnsiTheme="minorBidi"/>
                <w:sz w:val="20"/>
                <w:szCs w:val="20"/>
                <w:rtl/>
              </w:rPr>
            </w:pPr>
          </w:p>
        </w:tc>
      </w:tr>
      <w:tr w:rsidR="00804173" w:rsidTr="00166B8E">
        <w:tc>
          <w:tcPr>
            <w:tcW w:w="2410" w:type="dxa"/>
          </w:tcPr>
          <w:p w:rsidR="00804173" w:rsidRPr="00166B8E" w:rsidRDefault="00944413" w:rsidP="00804173">
            <w:pPr>
              <w:bidi w:val="0"/>
              <w:rPr>
                <w:rFonts w:asciiTheme="minorBidi" w:hAnsiTheme="minorBidi"/>
                <w:sz w:val="20"/>
                <w:szCs w:val="20"/>
                <w:rtl/>
              </w:rPr>
            </w:pPr>
            <w:r w:rsidRPr="00166B8E">
              <w:rPr>
                <w:rFonts w:asciiTheme="minorBidi" w:eastAsia="Times New Roman" w:hAnsiTheme="minorBidi"/>
                <w:b/>
                <w:caps/>
                <w:sz w:val="20"/>
                <w:szCs w:val="20"/>
                <w:lang w:eastAsia="ja-JP" w:bidi="ar-SA"/>
              </w:rPr>
              <w:t>DRUG INTERACTIONS</w:t>
            </w:r>
          </w:p>
        </w:tc>
        <w:tc>
          <w:tcPr>
            <w:tcW w:w="3402" w:type="dxa"/>
          </w:tcPr>
          <w:p w:rsidR="00804173" w:rsidRPr="00166B8E" w:rsidRDefault="00944413" w:rsidP="00804173">
            <w:pPr>
              <w:bidi w:val="0"/>
              <w:rPr>
                <w:rFonts w:asciiTheme="minorBidi" w:hAnsiTheme="minorBidi"/>
                <w:sz w:val="20"/>
                <w:szCs w:val="20"/>
                <w:rtl/>
              </w:rPr>
            </w:pPr>
            <w:r w:rsidRPr="00166B8E">
              <w:rPr>
                <w:rFonts w:asciiTheme="minorBidi" w:hAnsiTheme="minorBidi"/>
                <w:sz w:val="20"/>
                <w:szCs w:val="20"/>
              </w:rPr>
              <w:t xml:space="preserve">Enoxaparin dosed as a 1.0-mg/kg subcutaneous injection q12h for 4 doses did not alter the pharmacokinetics of </w:t>
            </w:r>
            <w:proofErr w:type="spellStart"/>
            <w:r w:rsidRPr="00166B8E">
              <w:rPr>
                <w:rFonts w:asciiTheme="minorBidi" w:hAnsiTheme="minorBidi"/>
                <w:sz w:val="20"/>
                <w:szCs w:val="20"/>
              </w:rPr>
              <w:t>eptifibatide</w:t>
            </w:r>
            <w:proofErr w:type="spellEnd"/>
            <w:r w:rsidRPr="00166B8E">
              <w:rPr>
                <w:rFonts w:asciiTheme="minorBidi" w:hAnsiTheme="minorBidi"/>
                <w:sz w:val="20"/>
                <w:szCs w:val="20"/>
              </w:rPr>
              <w:t xml:space="preserve"> or the level of platelet aggregation in healthy adults</w:t>
            </w:r>
          </w:p>
        </w:tc>
        <w:tc>
          <w:tcPr>
            <w:tcW w:w="3403" w:type="dxa"/>
          </w:tcPr>
          <w:p w:rsidR="00804173" w:rsidRPr="00166B8E" w:rsidRDefault="00944413" w:rsidP="00944413">
            <w:pPr>
              <w:pStyle w:val="SubSectionHeadings"/>
              <w:outlineLvl w:val="0"/>
              <w:rPr>
                <w:rFonts w:asciiTheme="minorBidi" w:hAnsiTheme="minorBidi" w:cstheme="minorBidi"/>
                <w:rtl/>
              </w:rPr>
            </w:pPr>
            <w:r w:rsidRPr="00166B8E">
              <w:rPr>
                <w:rFonts w:asciiTheme="minorBidi" w:hAnsiTheme="minorBidi" w:cstheme="minorBidi"/>
                <w:b/>
                <w:i w:val="0"/>
                <w:highlight w:val="yellow"/>
                <w:u w:val="single"/>
              </w:rPr>
              <w:t xml:space="preserve">Use of </w:t>
            </w:r>
            <w:proofErr w:type="spellStart"/>
            <w:r w:rsidRPr="00166B8E">
              <w:rPr>
                <w:rFonts w:asciiTheme="minorBidi" w:hAnsiTheme="minorBidi" w:cstheme="minorBidi"/>
                <w:b/>
                <w:i w:val="0"/>
                <w:highlight w:val="yellow"/>
                <w:u w:val="single"/>
              </w:rPr>
              <w:t>Thrombolytics</w:t>
            </w:r>
            <w:proofErr w:type="spellEnd"/>
            <w:r w:rsidRPr="00166B8E">
              <w:rPr>
                <w:rFonts w:asciiTheme="minorBidi" w:hAnsiTheme="minorBidi" w:cstheme="minorBidi"/>
                <w:b/>
                <w:i w:val="0"/>
                <w:highlight w:val="yellow"/>
                <w:u w:val="single"/>
              </w:rPr>
              <w:t xml:space="preserve">, Anticoagulants, and Other Antiplatelet Agents- </w:t>
            </w:r>
            <w:proofErr w:type="spellStart"/>
            <w:r w:rsidRPr="00166B8E">
              <w:rPr>
                <w:rFonts w:asciiTheme="minorBidi" w:hAnsiTheme="minorBidi" w:cstheme="minorBidi"/>
                <w:i w:val="0"/>
                <w:iCs/>
                <w:highlight w:val="yellow"/>
                <w:u w:val="single"/>
              </w:rPr>
              <w:t>Coadministration</w:t>
            </w:r>
            <w:proofErr w:type="spellEnd"/>
            <w:r w:rsidRPr="00166B8E">
              <w:rPr>
                <w:rFonts w:asciiTheme="minorBidi" w:hAnsiTheme="minorBidi" w:cstheme="minorBidi"/>
                <w:i w:val="0"/>
                <w:iCs/>
                <w:highlight w:val="yellow"/>
                <w:u w:val="single"/>
              </w:rPr>
              <w:t xml:space="preserve"> of antiplatelet agents, </w:t>
            </w:r>
            <w:proofErr w:type="spellStart"/>
            <w:r w:rsidRPr="00166B8E">
              <w:rPr>
                <w:rFonts w:asciiTheme="minorBidi" w:hAnsiTheme="minorBidi" w:cstheme="minorBidi"/>
                <w:i w:val="0"/>
                <w:iCs/>
                <w:highlight w:val="yellow"/>
                <w:u w:val="single"/>
              </w:rPr>
              <w:t>thrombolytics</w:t>
            </w:r>
            <w:proofErr w:type="spellEnd"/>
            <w:r w:rsidRPr="00166B8E">
              <w:rPr>
                <w:rFonts w:asciiTheme="minorBidi" w:hAnsiTheme="minorBidi" w:cstheme="minorBidi"/>
                <w:i w:val="0"/>
                <w:iCs/>
                <w:highlight w:val="yellow"/>
                <w:u w:val="single"/>
              </w:rPr>
              <w:t>, heparin, aspirin, and chronic NSAID use increases the risk of bleeding. Concomitant treatment with other inhibitors of platelet receptor GP </w:t>
            </w:r>
            <w:proofErr w:type="spellStart"/>
            <w:r w:rsidRPr="00166B8E">
              <w:rPr>
                <w:rFonts w:asciiTheme="minorBidi" w:hAnsiTheme="minorBidi" w:cstheme="minorBidi"/>
                <w:i w:val="0"/>
                <w:iCs/>
                <w:highlight w:val="yellow"/>
                <w:u w:val="single"/>
              </w:rPr>
              <w:t>IIb</w:t>
            </w:r>
            <w:proofErr w:type="spellEnd"/>
            <w:r w:rsidRPr="00166B8E">
              <w:rPr>
                <w:rFonts w:asciiTheme="minorBidi" w:hAnsiTheme="minorBidi" w:cstheme="minorBidi"/>
                <w:i w:val="0"/>
                <w:iCs/>
                <w:highlight w:val="yellow"/>
                <w:u w:val="single"/>
              </w:rPr>
              <w:t>/</w:t>
            </w:r>
            <w:proofErr w:type="spellStart"/>
            <w:r w:rsidRPr="00166B8E">
              <w:rPr>
                <w:rFonts w:asciiTheme="minorBidi" w:hAnsiTheme="minorBidi" w:cstheme="minorBidi"/>
                <w:i w:val="0"/>
                <w:iCs/>
                <w:highlight w:val="yellow"/>
                <w:u w:val="single"/>
              </w:rPr>
              <w:t>IIIa</w:t>
            </w:r>
            <w:proofErr w:type="spellEnd"/>
            <w:r w:rsidRPr="00166B8E">
              <w:rPr>
                <w:rFonts w:asciiTheme="minorBidi" w:hAnsiTheme="minorBidi" w:cstheme="minorBidi"/>
                <w:i w:val="0"/>
                <w:iCs/>
                <w:highlight w:val="yellow"/>
                <w:u w:val="single"/>
              </w:rPr>
              <w:t xml:space="preserve"> should be avoided.</w:t>
            </w:r>
          </w:p>
        </w:tc>
      </w:tr>
    </w:tbl>
    <w:p w:rsidR="00166B8E" w:rsidRPr="00D62ED8" w:rsidRDefault="00166B8E" w:rsidP="00166B8E">
      <w:pPr>
        <w:ind w:right="-142"/>
        <w:rPr>
          <w:rtl/>
        </w:rPr>
      </w:pPr>
    </w:p>
    <w:p w:rsidR="007B2D37" w:rsidRPr="00166B8E" w:rsidRDefault="00166B8E" w:rsidP="00166B8E">
      <w:pPr>
        <w:ind w:left="-142" w:right="-143"/>
        <w:rPr>
          <w:rFonts w:cs="David Transparent"/>
          <w:b/>
          <w:bCs/>
        </w:rPr>
      </w:pPr>
      <w:bookmarkStart w:id="5" w:name="_GoBack"/>
      <w:bookmarkEnd w:id="5"/>
      <w:r w:rsidRPr="00166B8E">
        <w:rPr>
          <w:rFonts w:hint="cs"/>
          <w:rtl/>
        </w:rPr>
        <w:t xml:space="preserve"> </w:t>
      </w:r>
    </w:p>
    <w:sectPr w:rsidR="007B2D37" w:rsidRPr="00166B8E" w:rsidSect="00346E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73"/>
    <w:rsid w:val="00166B8E"/>
    <w:rsid w:val="00346ECE"/>
    <w:rsid w:val="007B2D37"/>
    <w:rsid w:val="00804173"/>
    <w:rsid w:val="00944413"/>
    <w:rsid w:val="00D62ED8"/>
    <w:rsid w:val="00F10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CharChar">
    <w:name w:val="BodyText2 Char Char"/>
    <w:basedOn w:val="Normal"/>
    <w:link w:val="BodyText2CharCharChar"/>
    <w:rsid w:val="00804173"/>
    <w:pPr>
      <w:bidi w:val="0"/>
      <w:spacing w:before="4" w:after="0" w:line="240" w:lineRule="auto"/>
      <w:ind w:firstLine="317"/>
    </w:pPr>
    <w:rPr>
      <w:rFonts w:ascii="Helvetica" w:eastAsia="Times New Roman" w:hAnsi="Helvetica" w:cs="Times New Roman"/>
      <w:sz w:val="16"/>
      <w:szCs w:val="24"/>
      <w:lang w:bidi="ar-SA"/>
    </w:rPr>
  </w:style>
  <w:style w:type="character" w:customStyle="1" w:styleId="BodyText2CharCharChar">
    <w:name w:val="BodyText2 Char Char Char"/>
    <w:link w:val="BodyText2CharChar"/>
    <w:rsid w:val="00804173"/>
    <w:rPr>
      <w:rFonts w:ascii="Helvetica" w:eastAsia="Times New Roman" w:hAnsi="Helvetica" w:cs="Times New Roman"/>
      <w:sz w:val="16"/>
      <w:szCs w:val="24"/>
      <w:lang w:bidi="ar-SA"/>
    </w:rPr>
  </w:style>
  <w:style w:type="character" w:styleId="PageNumber">
    <w:name w:val="page number"/>
    <w:basedOn w:val="DefaultParagraphFont"/>
    <w:rsid w:val="00804173"/>
  </w:style>
  <w:style w:type="paragraph" w:customStyle="1" w:styleId="BodyText1">
    <w:name w:val="BodyText1"/>
    <w:basedOn w:val="Normal"/>
    <w:rsid w:val="00804173"/>
    <w:pPr>
      <w:bidi w:val="0"/>
      <w:spacing w:before="4" w:after="0" w:line="240" w:lineRule="auto"/>
      <w:ind w:firstLine="317"/>
    </w:pPr>
    <w:rPr>
      <w:rFonts w:ascii="Helvetica" w:eastAsia="Times New Roman" w:hAnsi="Helvetica" w:cs="Times New Roman"/>
      <w:sz w:val="16"/>
      <w:szCs w:val="24"/>
      <w:lang w:bidi="ar-SA"/>
    </w:rPr>
  </w:style>
  <w:style w:type="paragraph" w:customStyle="1" w:styleId="SubSubSectionheading">
    <w:name w:val="SubSub Section heading"/>
    <w:basedOn w:val="Normal"/>
    <w:next w:val="Normal"/>
    <w:rsid w:val="00804173"/>
    <w:pPr>
      <w:keepNext/>
      <w:keepLines/>
      <w:bidi w:val="0"/>
      <w:spacing w:after="0" w:line="240" w:lineRule="auto"/>
    </w:pPr>
    <w:rPr>
      <w:rFonts w:ascii="Arial" w:eastAsia="Times New Roman" w:hAnsi="Arial" w:cs="Times New Roman"/>
      <w:i/>
      <w:sz w:val="20"/>
      <w:szCs w:val="20"/>
      <w:lang w:eastAsia="ja-JP" w:bidi="ar-SA"/>
    </w:rPr>
  </w:style>
  <w:style w:type="paragraph" w:customStyle="1" w:styleId="PARA">
    <w:name w:val="PARA"/>
    <w:basedOn w:val="Normal"/>
    <w:rsid w:val="00944413"/>
    <w:pPr>
      <w:bidi w:val="0"/>
      <w:spacing w:before="160" w:after="0" w:line="300" w:lineRule="exact"/>
      <w:jc w:val="both"/>
    </w:pPr>
    <w:rPr>
      <w:rFonts w:ascii="Helvetica" w:eastAsia="Times New Roman" w:hAnsi="Helvetica" w:cs="Times New Roman"/>
      <w:szCs w:val="20"/>
      <w:lang w:bidi="ar-SA"/>
    </w:rPr>
  </w:style>
  <w:style w:type="paragraph" w:customStyle="1" w:styleId="SubSectionHeadings">
    <w:name w:val="Sub Section Headings"/>
    <w:basedOn w:val="Normal"/>
    <w:next w:val="Normal"/>
    <w:rsid w:val="00944413"/>
    <w:pPr>
      <w:keepNext/>
      <w:keepLines/>
      <w:bidi w:val="0"/>
      <w:spacing w:after="0" w:line="240" w:lineRule="auto"/>
    </w:pPr>
    <w:rPr>
      <w:rFonts w:ascii="Arial" w:eastAsia="Times New Roman" w:hAnsi="Arial" w:cs="Times New Roman"/>
      <w:i/>
      <w:sz w:val="20"/>
      <w:szCs w:val="20"/>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CharChar">
    <w:name w:val="BodyText2 Char Char"/>
    <w:basedOn w:val="Normal"/>
    <w:link w:val="BodyText2CharCharChar"/>
    <w:rsid w:val="00804173"/>
    <w:pPr>
      <w:bidi w:val="0"/>
      <w:spacing w:before="4" w:after="0" w:line="240" w:lineRule="auto"/>
      <w:ind w:firstLine="317"/>
    </w:pPr>
    <w:rPr>
      <w:rFonts w:ascii="Helvetica" w:eastAsia="Times New Roman" w:hAnsi="Helvetica" w:cs="Times New Roman"/>
      <w:sz w:val="16"/>
      <w:szCs w:val="24"/>
      <w:lang w:bidi="ar-SA"/>
    </w:rPr>
  </w:style>
  <w:style w:type="character" w:customStyle="1" w:styleId="BodyText2CharCharChar">
    <w:name w:val="BodyText2 Char Char Char"/>
    <w:link w:val="BodyText2CharChar"/>
    <w:rsid w:val="00804173"/>
    <w:rPr>
      <w:rFonts w:ascii="Helvetica" w:eastAsia="Times New Roman" w:hAnsi="Helvetica" w:cs="Times New Roman"/>
      <w:sz w:val="16"/>
      <w:szCs w:val="24"/>
      <w:lang w:bidi="ar-SA"/>
    </w:rPr>
  </w:style>
  <w:style w:type="character" w:styleId="PageNumber">
    <w:name w:val="page number"/>
    <w:basedOn w:val="DefaultParagraphFont"/>
    <w:rsid w:val="00804173"/>
  </w:style>
  <w:style w:type="paragraph" w:customStyle="1" w:styleId="BodyText1">
    <w:name w:val="BodyText1"/>
    <w:basedOn w:val="Normal"/>
    <w:rsid w:val="00804173"/>
    <w:pPr>
      <w:bidi w:val="0"/>
      <w:spacing w:before="4" w:after="0" w:line="240" w:lineRule="auto"/>
      <w:ind w:firstLine="317"/>
    </w:pPr>
    <w:rPr>
      <w:rFonts w:ascii="Helvetica" w:eastAsia="Times New Roman" w:hAnsi="Helvetica" w:cs="Times New Roman"/>
      <w:sz w:val="16"/>
      <w:szCs w:val="24"/>
      <w:lang w:bidi="ar-SA"/>
    </w:rPr>
  </w:style>
  <w:style w:type="paragraph" w:customStyle="1" w:styleId="SubSubSectionheading">
    <w:name w:val="SubSub Section heading"/>
    <w:basedOn w:val="Normal"/>
    <w:next w:val="Normal"/>
    <w:rsid w:val="00804173"/>
    <w:pPr>
      <w:keepNext/>
      <w:keepLines/>
      <w:bidi w:val="0"/>
      <w:spacing w:after="0" w:line="240" w:lineRule="auto"/>
    </w:pPr>
    <w:rPr>
      <w:rFonts w:ascii="Arial" w:eastAsia="Times New Roman" w:hAnsi="Arial" w:cs="Times New Roman"/>
      <w:i/>
      <w:sz w:val="20"/>
      <w:szCs w:val="20"/>
      <w:lang w:eastAsia="ja-JP" w:bidi="ar-SA"/>
    </w:rPr>
  </w:style>
  <w:style w:type="paragraph" w:customStyle="1" w:styleId="PARA">
    <w:name w:val="PARA"/>
    <w:basedOn w:val="Normal"/>
    <w:rsid w:val="00944413"/>
    <w:pPr>
      <w:bidi w:val="0"/>
      <w:spacing w:before="160" w:after="0" w:line="300" w:lineRule="exact"/>
      <w:jc w:val="both"/>
    </w:pPr>
    <w:rPr>
      <w:rFonts w:ascii="Helvetica" w:eastAsia="Times New Roman" w:hAnsi="Helvetica" w:cs="Times New Roman"/>
      <w:szCs w:val="20"/>
      <w:lang w:bidi="ar-SA"/>
    </w:rPr>
  </w:style>
  <w:style w:type="paragraph" w:customStyle="1" w:styleId="SubSectionHeadings">
    <w:name w:val="Sub Section Headings"/>
    <w:basedOn w:val="Normal"/>
    <w:next w:val="Normal"/>
    <w:rsid w:val="00944413"/>
    <w:pPr>
      <w:keepNext/>
      <w:keepLines/>
      <w:bidi w:val="0"/>
      <w:spacing w:after="0" w:line="240" w:lineRule="auto"/>
    </w:pPr>
    <w:rPr>
      <w:rFonts w:ascii="Arial" w:eastAsia="Times New Roman" w:hAnsi="Arial" w:cs="Times New Roman"/>
      <w:i/>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oNumber xmlns="43f5c83f-d7ad-4276-a107-8019a824ecd5">164272416</AutoNumber>
    <REQUESTNUMBER xmlns="43f5c83f-d7ad-4276-a107-8019a824ecd5">95690,95691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18100,18100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טופס החמרות לעלון לרופא 07.15</UCOMMENTS>
    <OWNER xmlns="43f5c83f-d7ad-4276-a107-8019a824ecd5">869,869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2952811,2952911</REGISTRATIONNUMBER>
    <SDCategories xmlns="43f5c83f-d7ad-4276-a107-8019a824ecd5" xsi:nil="true"/>
    <SDDocDate xmlns="43f5c83f-d7ad-4276-a107-8019a824ecd5">1903-03-03T06:00:01+00:00</SDDocDate>
    <DRAGOBJID xmlns="43f5c83f-d7ad-4276-a107-8019a824ecd5">2952811,2952911</DRAGOBJID>
    <mossuploaddate xmlns="43f5c83f-d7ad-4276-a107-8019a824ecd5">2015-07-27 08:56:56</mossuploaddate>
    <SDExternalEntityConnected xmlns="43f5c83f-d7ad-4276-a107-8019a824ec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29F61-4C01-46FE-BFF5-6BA9CF89F6F2}"/>
</file>

<file path=customXml/itemProps2.xml><?xml version="1.0" encoding="utf-8"?>
<ds:datastoreItem xmlns:ds="http://schemas.openxmlformats.org/officeDocument/2006/customXml" ds:itemID="{75B9F575-4271-430B-A3C8-FF27E3D6673D}"/>
</file>

<file path=customXml/itemProps3.xml><?xml version="1.0" encoding="utf-8"?>
<ds:datastoreItem xmlns:ds="http://schemas.openxmlformats.org/officeDocument/2006/customXml" ds:itemID="{0491A4E8-C70F-415A-88FE-6FFAE8651AC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NTEGRILIN 0.75 MGML 2 mgml 29528 29529 spc worsening 07.15</dc:title>
  <dc:creator>Adi Gal</dc:creator>
  <cp:lastModifiedBy>Adi Gal</cp:lastModifiedBy>
  <cp:revision>4</cp:revision>
  <cp:lastPrinted>2014-11-11T09:40:00Z</cp:lastPrinted>
  <dcterms:created xsi:type="dcterms:W3CDTF">2014-11-11T09:36:00Z</dcterms:created>
  <dcterms:modified xsi:type="dcterms:W3CDTF">2014-11-11T09:44:00Z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