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F0" w:rsidRDefault="007326F0" w:rsidP="00374C01">
      <w:pPr>
        <w:pStyle w:val="1"/>
        <w:ind w:right="-142"/>
        <w:rPr>
          <w:rFonts w:cs="David Transparent"/>
          <w:color w:val="C0C0C0"/>
          <w:u w:val="none"/>
          <w:shd w:val="clear" w:color="auto" w:fill="00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268B7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הודעה על </w:t>
      </w:r>
      <w:r w:rsidRPr="006268B7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החמרה  (</w:t>
      </w:r>
      <w:r w:rsidRPr="006268B7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מידע </w:t>
      </w:r>
      <w:r w:rsidRPr="006268B7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בטיחות)  בעלון ל</w:t>
      </w:r>
      <w:r w:rsidRPr="006268B7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רופא</w:t>
      </w:r>
    </w:p>
    <w:p w:rsidR="00254713" w:rsidRDefault="00254713" w:rsidP="00254713">
      <w:pPr>
        <w:rPr>
          <w:lang w:eastAsia="en-US"/>
        </w:rPr>
      </w:pPr>
    </w:p>
    <w:p w:rsidR="00254713" w:rsidRDefault="00254713" w:rsidP="00AE39C3">
      <w:pPr>
        <w:spacing w:line="360" w:lineRule="auto"/>
        <w:rPr>
          <w:rFonts w:cs="David Transparent"/>
          <w:b/>
          <w:bCs/>
          <w:sz w:val="28"/>
          <w:szCs w:val="28"/>
        </w:rPr>
      </w:pPr>
      <w:r>
        <w:rPr>
          <w:rFonts w:cs="David Transparent" w:hint="cs"/>
          <w:b/>
          <w:bCs/>
          <w:sz w:val="28"/>
          <w:szCs w:val="28"/>
          <w:rtl/>
        </w:rPr>
        <w:t xml:space="preserve">תאריך </w:t>
      </w:r>
      <w:r w:rsidR="00AE39C3">
        <w:rPr>
          <w:rFonts w:cs="David Transparent"/>
          <w:b/>
          <w:bCs/>
          <w:szCs w:val="28"/>
          <w:u w:val="single"/>
        </w:rPr>
        <w:t>01</w:t>
      </w:r>
      <w:r>
        <w:rPr>
          <w:rFonts w:cs="David Transparent"/>
          <w:b/>
          <w:bCs/>
          <w:szCs w:val="28"/>
          <w:u w:val="single"/>
        </w:rPr>
        <w:t>.0</w:t>
      </w:r>
      <w:r w:rsidR="00AE39C3">
        <w:rPr>
          <w:rFonts w:cs="David Transparent"/>
          <w:b/>
          <w:bCs/>
          <w:szCs w:val="28"/>
          <w:u w:val="single"/>
        </w:rPr>
        <w:t>2</w:t>
      </w:r>
      <w:r>
        <w:rPr>
          <w:rFonts w:cs="David Transparent"/>
          <w:b/>
          <w:bCs/>
          <w:szCs w:val="28"/>
          <w:u w:val="single"/>
        </w:rPr>
        <w:t>.201</w:t>
      </w:r>
      <w:r w:rsidR="00421A70">
        <w:rPr>
          <w:rFonts w:cs="David Transparent"/>
          <w:b/>
          <w:bCs/>
          <w:szCs w:val="28"/>
          <w:u w:val="single"/>
        </w:rPr>
        <w:t>5</w:t>
      </w:r>
    </w:p>
    <w:p w:rsidR="00254713" w:rsidRDefault="00254713" w:rsidP="00254713">
      <w:pPr>
        <w:spacing w:line="360" w:lineRule="auto"/>
        <w:rPr>
          <w:rFonts w:cs="David Transparent"/>
          <w:b/>
          <w:bCs/>
          <w:szCs w:val="28"/>
        </w:rPr>
      </w:pPr>
      <w:r>
        <w:rPr>
          <w:rFonts w:cs="David Transparent" w:hint="cs"/>
          <w:b/>
          <w:bCs/>
          <w:szCs w:val="28"/>
          <w:rtl/>
        </w:rPr>
        <w:t>שם תכשיר באנגלית ומספר הרישום:</w:t>
      </w:r>
    </w:p>
    <w:p w:rsidR="00254713" w:rsidRDefault="00254713" w:rsidP="00155A90">
      <w:pPr>
        <w:spacing w:line="360" w:lineRule="auto"/>
        <w:rPr>
          <w:rFonts w:cs="David Transparent"/>
          <w:b/>
          <w:bCs/>
          <w:szCs w:val="28"/>
          <w:u w:val="single"/>
          <w:rtl/>
        </w:rPr>
      </w:pPr>
      <w:r>
        <w:rPr>
          <w:rFonts w:cs="David Transparent"/>
          <w:b/>
          <w:bCs/>
          <w:szCs w:val="28"/>
          <w:u w:val="single"/>
        </w:rPr>
        <w:t xml:space="preserve">    </w:t>
      </w:r>
      <w:r w:rsidR="00155A90" w:rsidRPr="00DC7278">
        <w:rPr>
          <w:rFonts w:cs="David Transparent"/>
          <w:b/>
          <w:bCs/>
          <w:sz w:val="22"/>
          <w:szCs w:val="22"/>
          <w:u w:val="single"/>
        </w:rPr>
        <w:t>TAXOTERE 20mg/ml</w:t>
      </w:r>
      <w:r>
        <w:rPr>
          <w:rFonts w:cs="David Transparent"/>
          <w:b/>
          <w:bCs/>
          <w:szCs w:val="28"/>
          <w:u w:val="single"/>
        </w:rPr>
        <w:t xml:space="preserve">     </w:t>
      </w:r>
      <w:r w:rsidR="00155A90" w:rsidRPr="00D36F33">
        <w:rPr>
          <w:rFonts w:ascii="Arial" w:hAnsi="Arial" w:cs="Arial"/>
          <w:b/>
          <w:bCs/>
          <w:sz w:val="20"/>
          <w:szCs w:val="20"/>
          <w:u w:val="single"/>
        </w:rPr>
        <w:t xml:space="preserve">144 44 33092 </w:t>
      </w:r>
      <w:r>
        <w:rPr>
          <w:rFonts w:cs="David Transparent" w:hint="cs"/>
          <w:b/>
          <w:bCs/>
          <w:szCs w:val="28"/>
          <w:u w:val="single"/>
          <w:rtl/>
        </w:rPr>
        <w:t>_</w:t>
      </w:r>
      <w:r>
        <w:rPr>
          <w:rFonts w:cs="David Transparent" w:hint="cs"/>
          <w:b/>
          <w:bCs/>
          <w:szCs w:val="28"/>
          <w:u w:val="single"/>
        </w:rPr>
        <w:t xml:space="preserve"> </w:t>
      </w:r>
    </w:p>
    <w:p w:rsidR="00254713" w:rsidRDefault="00254713" w:rsidP="00254713">
      <w:pPr>
        <w:spacing w:line="360" w:lineRule="auto"/>
        <w:rPr>
          <w:rFonts w:cs="David Transparent"/>
          <w:b/>
          <w:bCs/>
          <w:sz w:val="26"/>
          <w:szCs w:val="26"/>
          <w:u w:val="single"/>
          <w:rtl/>
        </w:rPr>
      </w:pPr>
      <w:r>
        <w:rPr>
          <w:rFonts w:cs="David Transparent" w:hint="cs"/>
          <w:b/>
          <w:bCs/>
          <w:sz w:val="26"/>
          <w:szCs w:val="26"/>
          <w:rtl/>
        </w:rPr>
        <w:t xml:space="preserve">שם בעל הרישום: </w:t>
      </w:r>
      <w:proofErr w:type="spellStart"/>
      <w:r>
        <w:rPr>
          <w:rFonts w:cs="David Transparent" w:hint="cs"/>
          <w:b/>
          <w:bCs/>
          <w:sz w:val="26"/>
          <w:szCs w:val="26"/>
          <w:u w:val="single"/>
          <w:rtl/>
        </w:rPr>
        <w:t>סאנופי-אוונטיס</w:t>
      </w:r>
      <w:proofErr w:type="spellEnd"/>
      <w:r>
        <w:rPr>
          <w:rFonts w:cs="David Transparent" w:hint="cs"/>
          <w:b/>
          <w:bCs/>
          <w:sz w:val="26"/>
          <w:szCs w:val="26"/>
          <w:u w:val="single"/>
          <w:rtl/>
        </w:rPr>
        <w:t xml:space="preserve"> ישראל בע"מ</w:t>
      </w:r>
    </w:p>
    <w:p w:rsidR="00254713" w:rsidRDefault="00254713" w:rsidP="00254713">
      <w:pPr>
        <w:spacing w:line="360" w:lineRule="auto"/>
        <w:rPr>
          <w:b/>
          <w:bCs/>
          <w:sz w:val="22"/>
          <w:szCs w:val="22"/>
          <w:rtl/>
          <w:lang w:val="en-GB"/>
        </w:rPr>
      </w:pPr>
      <w:r>
        <w:rPr>
          <w:rFonts w:hint="cs"/>
          <w:b/>
          <w:bCs/>
          <w:sz w:val="22"/>
          <w:szCs w:val="22"/>
          <w:highlight w:val="yellow"/>
          <w:rtl/>
          <w:lang w:val="en-GB"/>
        </w:rPr>
        <w:t>המידע שהוסף מסומן בצהוב. הסעיפים שעודכנו כוללים מידע נוסף שאינו מופיע כאן</w:t>
      </w:r>
      <w:r>
        <w:rPr>
          <w:b/>
          <w:bCs/>
          <w:sz w:val="22"/>
          <w:szCs w:val="22"/>
          <w:highlight w:val="yellow"/>
          <w:lang w:val="en-GB"/>
        </w:rPr>
        <w:t>.</w:t>
      </w:r>
      <w:r>
        <w:rPr>
          <w:rFonts w:hint="cs"/>
          <w:b/>
          <w:bCs/>
          <w:sz w:val="22"/>
          <w:szCs w:val="22"/>
          <w:highlight w:val="yellow"/>
          <w:rtl/>
          <w:lang w:val="en-GB"/>
        </w:rPr>
        <w:t xml:space="preserve">                        מידע מלא ניתן למצוא בעלון המלא</w:t>
      </w:r>
      <w:r>
        <w:rPr>
          <w:rFonts w:hint="cs"/>
          <w:b/>
          <w:bCs/>
          <w:sz w:val="22"/>
          <w:szCs w:val="22"/>
          <w:rtl/>
          <w:lang w:val="en-GB"/>
        </w:rPr>
        <w:t>.</w:t>
      </w:r>
    </w:p>
    <w:p w:rsidR="00254713" w:rsidRDefault="00254713" w:rsidP="00254713">
      <w:pPr>
        <w:jc w:val="center"/>
        <w:rPr>
          <w:rFonts w:cs="David Transparent"/>
          <w:color w:val="FF0000"/>
          <w:szCs w:val="28"/>
          <w:rtl/>
        </w:rPr>
      </w:pPr>
      <w:r>
        <w:rPr>
          <w:rFonts w:cs="David Transparent" w:hint="cs"/>
          <w:color w:val="FF0000"/>
          <w:szCs w:val="28"/>
          <w:rtl/>
        </w:rPr>
        <w:t xml:space="preserve">טופס זה מיועד לפרוט </w:t>
      </w:r>
      <w:proofErr w:type="spellStart"/>
      <w:r>
        <w:rPr>
          <w:rFonts w:cs="David Transparent" w:hint="cs"/>
          <w:color w:val="FF0000"/>
          <w:szCs w:val="28"/>
          <w:rtl/>
        </w:rPr>
        <w:t>ה</w:t>
      </w:r>
      <w:r w:rsidRPr="00222562">
        <w:rPr>
          <w:rFonts w:cs="David Transparent" w:hint="cs"/>
          <w:color w:val="FF0000"/>
          <w:szCs w:val="28"/>
          <w:rtl/>
        </w:rPr>
        <w:t>החמרות</w:t>
      </w:r>
      <w:proofErr w:type="spellEnd"/>
      <w:r w:rsidRPr="00222562">
        <w:rPr>
          <w:rFonts w:cs="David Transparent" w:hint="cs"/>
          <w:color w:val="FF0000"/>
          <w:szCs w:val="28"/>
          <w:rtl/>
        </w:rPr>
        <w:t xml:space="preserve"> בלבד</w:t>
      </w:r>
      <w:r>
        <w:rPr>
          <w:rFonts w:cs="David Transparent" w:hint="cs"/>
          <w:color w:val="FF0000"/>
          <w:szCs w:val="28"/>
          <w:rtl/>
        </w:rPr>
        <w:t xml:space="preserve"> !</w:t>
      </w:r>
    </w:p>
    <w:p w:rsidR="003E4D8B" w:rsidRDefault="003E4D8B" w:rsidP="00B06D17">
      <w:pPr>
        <w:ind w:left="-143" w:right="-142"/>
      </w:pPr>
      <w:r>
        <w:rPr>
          <w:rFonts w:hint="cs"/>
          <w:rtl/>
        </w:rPr>
        <w:t xml:space="preserve">      </w:t>
      </w:r>
    </w:p>
    <w:tbl>
      <w:tblPr>
        <w:bidiVisual/>
        <w:tblW w:w="901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851"/>
        <w:gridCol w:w="5670"/>
      </w:tblGrid>
      <w:tr w:rsidR="007E224A" w:rsidRPr="00A875C0" w:rsidTr="007E2094">
        <w:trPr>
          <w:cantSplit/>
        </w:trPr>
        <w:tc>
          <w:tcPr>
            <w:tcW w:w="9016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7E224A" w:rsidRPr="00A875C0" w:rsidRDefault="007E224A" w:rsidP="007E2094">
            <w:pPr>
              <w:jc w:val="center"/>
              <w:rPr>
                <w:rFonts w:cs="David Transparent"/>
                <w:b/>
                <w:bCs/>
                <w:sz w:val="22"/>
                <w:szCs w:val="22"/>
                <w:rtl/>
              </w:rPr>
            </w:pPr>
          </w:p>
          <w:p w:rsidR="007E224A" w:rsidRPr="00A875C0" w:rsidRDefault="007E224A" w:rsidP="007E2094">
            <w:pPr>
              <w:jc w:val="center"/>
              <w:rPr>
                <w:rFonts w:cs="David Transparent"/>
                <w:b/>
                <w:bCs/>
                <w:sz w:val="22"/>
                <w:szCs w:val="22"/>
                <w:rtl/>
              </w:rPr>
            </w:pPr>
            <w:proofErr w:type="spellStart"/>
            <w:r w:rsidRPr="00A875C0">
              <w:rPr>
                <w:rFonts w:cs="David Transparent" w:hint="cs"/>
                <w:b/>
                <w:bCs/>
                <w:sz w:val="22"/>
                <w:szCs w:val="22"/>
                <w:rtl/>
              </w:rPr>
              <w:t>ההחמרות</w:t>
            </w:r>
            <w:proofErr w:type="spellEnd"/>
            <w:r w:rsidRPr="00A875C0">
              <w:rPr>
                <w:rFonts w:cs="David Transparent" w:hint="cs"/>
                <w:b/>
                <w:bCs/>
                <w:sz w:val="22"/>
                <w:szCs w:val="22"/>
                <w:rtl/>
              </w:rPr>
              <w:t xml:space="preserve"> המבוקשות</w:t>
            </w:r>
          </w:p>
        </w:tc>
      </w:tr>
      <w:tr w:rsidR="007E224A" w:rsidRPr="00A875C0" w:rsidTr="00C17F62">
        <w:tc>
          <w:tcPr>
            <w:tcW w:w="2495" w:type="dxa"/>
            <w:tcBorders>
              <w:top w:val="nil"/>
            </w:tcBorders>
          </w:tcPr>
          <w:p w:rsidR="007E224A" w:rsidRPr="00A875C0" w:rsidRDefault="007E224A" w:rsidP="007E209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E224A" w:rsidRPr="00A875C0" w:rsidRDefault="007E224A" w:rsidP="007E209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875C0">
              <w:rPr>
                <w:b/>
                <w:bCs/>
                <w:sz w:val="22"/>
                <w:szCs w:val="22"/>
                <w:rtl/>
              </w:rPr>
              <w:t>פרק בעלון</w:t>
            </w:r>
          </w:p>
          <w:p w:rsidR="007E224A" w:rsidRPr="00A875C0" w:rsidRDefault="007E224A" w:rsidP="007E209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E224A" w:rsidRPr="00A875C0" w:rsidRDefault="007E224A" w:rsidP="007E209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E224A" w:rsidRPr="00A875C0" w:rsidRDefault="007E224A" w:rsidP="007E209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875C0">
              <w:rPr>
                <w:b/>
                <w:bCs/>
                <w:sz w:val="22"/>
                <w:szCs w:val="22"/>
                <w:rtl/>
              </w:rPr>
              <w:t>טקסט נוכחי</w:t>
            </w:r>
          </w:p>
        </w:tc>
        <w:tc>
          <w:tcPr>
            <w:tcW w:w="5670" w:type="dxa"/>
            <w:tcBorders>
              <w:top w:val="nil"/>
              <w:right w:val="single" w:sz="4" w:space="0" w:color="auto"/>
            </w:tcBorders>
          </w:tcPr>
          <w:p w:rsidR="007E224A" w:rsidRPr="00A875C0" w:rsidRDefault="007E224A" w:rsidP="007E209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E224A" w:rsidRPr="00A875C0" w:rsidRDefault="007E224A" w:rsidP="007E209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875C0">
              <w:rPr>
                <w:b/>
                <w:bCs/>
                <w:sz w:val="22"/>
                <w:szCs w:val="22"/>
                <w:rtl/>
              </w:rPr>
              <w:t>טקסט חדש</w:t>
            </w:r>
          </w:p>
        </w:tc>
      </w:tr>
      <w:tr w:rsidR="007E224A" w:rsidRPr="00D20441" w:rsidTr="00C17F62">
        <w:trPr>
          <w:trHeight w:val="512"/>
        </w:trPr>
        <w:tc>
          <w:tcPr>
            <w:tcW w:w="2495" w:type="dxa"/>
          </w:tcPr>
          <w:p w:rsidR="00306DE8" w:rsidRDefault="00306DE8" w:rsidP="007E2094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blackbox</w:t>
            </w:r>
            <w:proofErr w:type="spellEnd"/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06DE8" w:rsidRDefault="00306DE8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AE4B23" w:rsidRPr="002411FB" w:rsidRDefault="00AE4B23" w:rsidP="00306DE8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411F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4.4 </w:t>
            </w:r>
          </w:p>
          <w:p w:rsidR="007E224A" w:rsidRPr="000F4FA5" w:rsidRDefault="007E224A" w:rsidP="00AE4B23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2411F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Special Warnings and Special Precautions for Use</w:t>
            </w:r>
          </w:p>
        </w:tc>
        <w:tc>
          <w:tcPr>
            <w:tcW w:w="851" w:type="dxa"/>
          </w:tcPr>
          <w:p w:rsidR="007E224A" w:rsidRPr="00A875C0" w:rsidRDefault="007E224A" w:rsidP="007E2094">
            <w:pPr>
              <w:jc w:val="both"/>
              <w:rPr>
                <w:rFonts w:ascii="Arial" w:hAnsi="Arial"/>
                <w:b/>
                <w:bCs/>
                <w:strike/>
                <w:sz w:val="22"/>
                <w:szCs w:val="22"/>
                <w:rtl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06DE8" w:rsidRDefault="00306DE8" w:rsidP="00AE4B23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306DE8" w:rsidRDefault="00306DE8" w:rsidP="00306DE8">
            <w:pPr>
              <w:autoSpaceDE w:val="0"/>
              <w:autoSpaceDN w:val="0"/>
              <w:adjustRightInd w:val="0"/>
              <w:rPr>
                <w:rFonts w:ascii="LiberationSerif-Bold" w:cs="LiberationSerif-Bold"/>
                <w:b/>
                <w:bCs/>
                <w:sz w:val="25"/>
                <w:szCs w:val="25"/>
              </w:rPr>
            </w:pPr>
            <w:r w:rsidRPr="00160F16"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>The incidence of treatment-related mortality associated with TAXOTERE therapy is increased in patients with abnormal liver function, in patients receiving higher doses, and in patients with non-small cell lung carcinoma and a history of prior treatment with platinum</w:t>
            </w:r>
            <w:r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 xml:space="preserve"> </w:t>
            </w:r>
            <w:r w:rsidRPr="00160F16"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>based chemotherapy who receive TAXOTERE as a single agent at a dose of 100 mg/m</w:t>
            </w:r>
            <w:r w:rsidRPr="00160F16"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  <w:vertAlign w:val="superscript"/>
              </w:rPr>
              <w:t>2</w:t>
            </w:r>
          </w:p>
          <w:p w:rsidR="00306DE8" w:rsidRPr="00160F16" w:rsidRDefault="00306DE8" w:rsidP="00306DE8">
            <w:pPr>
              <w:autoSpaceDE w:val="0"/>
              <w:autoSpaceDN w:val="0"/>
              <w:adjustRightInd w:val="0"/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</w:pPr>
            <w:r w:rsidRPr="00160F16"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>Patients with elevations of bilirubin or abnormalities of transaminase concurrent</w:t>
            </w:r>
          </w:p>
          <w:p w:rsidR="00306DE8" w:rsidRP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160F16"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 xml:space="preserve">with alkaline phosphatase are at increased risk for the development of grade 4 neutropenia, febrile neutropenia, infections, severe thrombocytopenia, severe stomatitis, severe skin toxicity, and toxic death. Patients with isolated elevations of transaminase &gt;1.5 </w:t>
            </w:r>
            <w:r w:rsidRPr="00160F16">
              <w:rPr>
                <w:rFonts w:ascii="LiberationSerif-Bold" w:cs="LiberationSerif-Bold" w:hint="cs"/>
                <w:b/>
                <w:bCs/>
                <w:sz w:val="25"/>
                <w:szCs w:val="25"/>
                <w:highlight w:val="darkCyan"/>
              </w:rPr>
              <w:t>×</w:t>
            </w:r>
            <w:r w:rsidRPr="00160F16"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 xml:space="preserve"> ULN also had a higher rate of febrile neutropenia grade 4 but did not have an increased incidence of toxic death</w:t>
            </w:r>
            <w:r w:rsidRPr="00AB784A"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 xml:space="preserve">. </w:t>
            </w:r>
            <w:r w:rsidRPr="00AB784A">
              <w:rPr>
                <w:b/>
                <w:bCs/>
                <w:color w:val="000000"/>
                <w:sz w:val="22"/>
                <w:szCs w:val="22"/>
                <w:highlight w:val="darkCyan"/>
              </w:rPr>
              <w:t>B</w:t>
            </w:r>
            <w:smartTag w:uri="urn:schemas-microsoft-com:office:smarttags" w:element="PersonName">
              <w:r w:rsidRPr="00AB784A">
                <w:rPr>
                  <w:b/>
                  <w:bCs/>
                  <w:color w:val="000000"/>
                  <w:sz w:val="22"/>
                  <w:szCs w:val="22"/>
                  <w:highlight w:val="darkCyan"/>
                </w:rPr>
                <w:t>il</w:t>
              </w:r>
            </w:smartTag>
            <w:r w:rsidRPr="00AB784A">
              <w:rPr>
                <w:b/>
                <w:bCs/>
                <w:color w:val="000000"/>
                <w:sz w:val="22"/>
                <w:szCs w:val="22"/>
                <w:highlight w:val="darkCyan"/>
              </w:rPr>
              <w:t xml:space="preserve">irubin, AST or </w:t>
            </w:r>
            <w:smartTag w:uri="urn:schemas-microsoft-com:office:smarttags" w:element="stockticker">
              <w:r w:rsidRPr="00AB784A">
                <w:rPr>
                  <w:b/>
                  <w:bCs/>
                  <w:color w:val="000000"/>
                  <w:sz w:val="22"/>
                  <w:szCs w:val="22"/>
                  <w:highlight w:val="darkCyan"/>
                </w:rPr>
                <w:t>ALT</w:t>
              </w:r>
            </w:smartTag>
            <w:r w:rsidRPr="00AB784A">
              <w:rPr>
                <w:b/>
                <w:bCs/>
                <w:color w:val="000000"/>
                <w:sz w:val="22"/>
                <w:szCs w:val="22"/>
                <w:highlight w:val="darkCyan"/>
              </w:rPr>
              <w:t xml:space="preserve">, and alkaline phosphatase values should be obtained prior to each cycle of </w:t>
            </w:r>
            <w:proofErr w:type="spellStart"/>
            <w:r w:rsidRPr="00AB784A">
              <w:rPr>
                <w:b/>
                <w:bCs/>
                <w:color w:val="000000"/>
                <w:sz w:val="22"/>
                <w:szCs w:val="22"/>
                <w:highlight w:val="darkCyan"/>
              </w:rPr>
              <w:t>docetaxel</w:t>
            </w:r>
            <w:proofErr w:type="spellEnd"/>
            <w:r w:rsidRPr="00AB784A">
              <w:rPr>
                <w:b/>
                <w:bCs/>
                <w:color w:val="000000"/>
                <w:sz w:val="22"/>
                <w:szCs w:val="22"/>
                <w:highlight w:val="darkCyan"/>
              </w:rPr>
              <w:t xml:space="preserve"> therapy.</w:t>
            </w:r>
          </w:p>
          <w:p w:rsid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306DE8" w:rsidRPr="00AA68B1" w:rsidRDefault="00306DE8" w:rsidP="00306DE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8B1">
              <w:rPr>
                <w:rFonts w:ascii="Arial" w:hAnsi="Arial" w:cs="Arial"/>
                <w:sz w:val="20"/>
                <w:szCs w:val="20"/>
              </w:rPr>
              <w:t>TAXOTERE</w:t>
            </w:r>
            <w:r w:rsidRPr="00AA68B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AA68B1">
              <w:rPr>
                <w:rFonts w:ascii="Arial" w:hAnsi="Arial" w:cs="Arial"/>
                <w:sz w:val="20"/>
                <w:szCs w:val="20"/>
              </w:rPr>
              <w:t xml:space="preserve"> THERAPY SHOULD NOT BE GIVEN TO PATIENTS WITH NEUTROPHIL COUNTS </w:t>
            </w:r>
            <w:proofErr w:type="gramStart"/>
            <w:r w:rsidRPr="00AA68B1">
              <w:rPr>
                <w:rFonts w:ascii="Arial" w:hAnsi="Arial" w:cs="Arial"/>
                <w:sz w:val="20"/>
                <w:szCs w:val="20"/>
              </w:rPr>
              <w:t>OF LESS THAN 1,500 CELLS/MM</w:t>
            </w:r>
            <w:r w:rsidRPr="00AA68B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proofErr w:type="gramEnd"/>
            <w:r w:rsidRPr="00AA68B1">
              <w:rPr>
                <w:rFonts w:ascii="Arial" w:hAnsi="Arial" w:cs="Arial"/>
                <w:sz w:val="20"/>
                <w:szCs w:val="20"/>
              </w:rPr>
              <w:t>. IN ORDER TO MONITOR THE OCCURRENCE OF NEUTROPENIA, WHICH MAY BE SEVERE AND RESULT IN INFECTION, IT IS RECOMMENDED THAT FREQUENT BLOOD CELL COUNTS BE PERFORMED ON ALL PATIENTS RECEIVING TAXOTERE</w:t>
            </w:r>
            <w:r w:rsidRPr="00AA68B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AA68B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6DE8" w:rsidRDefault="00306DE8" w:rsidP="00306DE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160F16">
              <w:rPr>
                <w:rFonts w:ascii="Arial" w:hAnsi="Arial" w:cs="Arial"/>
                <w:strike/>
                <w:sz w:val="20"/>
                <w:szCs w:val="20"/>
                <w:highlight w:val="darkCyan"/>
              </w:rPr>
              <w:t xml:space="preserve">SEVERE HYPERSENSITIVITY REACTIONS RESULTING IN IMMEDIATE DISCONTINUATIONS OCCURRED IN 0.4% </w:t>
            </w:r>
            <w:r w:rsidRPr="00160F16">
              <w:rPr>
                <w:rFonts w:ascii="Arial" w:hAnsi="Arial" w:cs="Arial"/>
                <w:strike/>
                <w:sz w:val="20"/>
                <w:szCs w:val="20"/>
                <w:highlight w:val="darkCyan"/>
              </w:rPr>
              <w:lastRenderedPageBreak/>
              <w:t>(5 OF 1260) OF PATIENTS. TAXOTERE</w:t>
            </w:r>
            <w:r w:rsidRPr="00160F16">
              <w:rPr>
                <w:rFonts w:ascii="Arial" w:hAnsi="Arial" w:cs="Arial"/>
                <w:strike/>
                <w:sz w:val="20"/>
                <w:szCs w:val="20"/>
                <w:highlight w:val="darkCyan"/>
                <w:vertAlign w:val="superscript"/>
              </w:rPr>
              <w:t>®</w:t>
            </w:r>
            <w:r w:rsidRPr="00160F16">
              <w:rPr>
                <w:rFonts w:ascii="Arial" w:hAnsi="Arial" w:cs="Arial"/>
                <w:strike/>
                <w:sz w:val="20"/>
                <w:szCs w:val="20"/>
                <w:highlight w:val="darkCyan"/>
              </w:rPr>
              <w:t xml:space="preserve"> MUST NOT BE GIVEN TO PATIENTS WHO HAVE A HISTORY OF SEVERE HYPERSENSITIVITY REACTIONS TO TAXOTERE</w:t>
            </w:r>
            <w:r w:rsidRPr="00160F16">
              <w:rPr>
                <w:rFonts w:ascii="Arial" w:hAnsi="Arial" w:cs="Arial"/>
                <w:strike/>
                <w:sz w:val="20"/>
                <w:szCs w:val="20"/>
                <w:highlight w:val="darkCyan"/>
                <w:vertAlign w:val="superscript"/>
              </w:rPr>
              <w:t>®</w:t>
            </w:r>
            <w:r w:rsidRPr="00160F16">
              <w:rPr>
                <w:rFonts w:ascii="Arial" w:hAnsi="Arial" w:cs="Arial"/>
                <w:strike/>
                <w:sz w:val="20"/>
                <w:szCs w:val="20"/>
                <w:highlight w:val="darkCyan"/>
              </w:rPr>
              <w:t xml:space="preserve"> OR TO OTHER DRUGS FORMULATED WITH POLYSORBATE 80.</w:t>
            </w:r>
          </w:p>
          <w:p w:rsidR="00306DE8" w:rsidRDefault="00306DE8" w:rsidP="00306DE8">
            <w:pPr>
              <w:autoSpaceDE w:val="0"/>
              <w:autoSpaceDN w:val="0"/>
              <w:adjustRightInd w:val="0"/>
              <w:rPr>
                <w:rFonts w:ascii="LiberationSerif-Bold" w:cs="LiberationSerif-Bold"/>
                <w:b/>
                <w:bCs/>
                <w:sz w:val="25"/>
                <w:szCs w:val="25"/>
              </w:rPr>
            </w:pPr>
            <w:r w:rsidRPr="009E7A00"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 xml:space="preserve">Severe hypersensitivity reactions characterized by generalized rash/erythema, hypotension and/or bronchospasm, or very rarely fatal </w:t>
            </w:r>
            <w:proofErr w:type="gramStart"/>
            <w:r w:rsidRPr="009E7A00"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>anaphylaxis ,</w:t>
            </w:r>
            <w:proofErr w:type="gramEnd"/>
            <w:r w:rsidRPr="009E7A00"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 xml:space="preserve"> have been reported in patients </w:t>
            </w:r>
            <w:r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>who received a 3-day dexamethas</w:t>
            </w:r>
            <w:r w:rsidRPr="009E7A00"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 xml:space="preserve">one premedication. Hypersensitivity reactions require immediate discontinuation of the TAXOTERE infusion and administration of appropriate therapy. TAXOTERE must not be given to patients who have a history of severe hypersensitivity reactions to TAXOTERE or to other drugs formulated with </w:t>
            </w:r>
            <w:proofErr w:type="spellStart"/>
            <w:r w:rsidRPr="009E7A00"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>polysorbate</w:t>
            </w:r>
            <w:proofErr w:type="spellEnd"/>
            <w:r w:rsidRPr="009E7A00"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 xml:space="preserve"> 80</w:t>
            </w:r>
          </w:p>
          <w:p w:rsidR="00306DE8" w:rsidRPr="00D37982" w:rsidRDefault="00306DE8" w:rsidP="00306DE8">
            <w:pPr>
              <w:autoSpaceDE w:val="0"/>
              <w:autoSpaceDN w:val="0"/>
              <w:adjustRightInd w:val="0"/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</w:pPr>
            <w:r w:rsidRPr="00D37982"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>Severe fluid retention occurred in 6.5% (6/92) of patients despite use of a 3-day</w:t>
            </w:r>
          </w:p>
          <w:p w:rsidR="00306DE8" w:rsidRPr="00160F16" w:rsidRDefault="00306DE8" w:rsidP="00306DE8">
            <w:pPr>
              <w:autoSpaceDE w:val="0"/>
              <w:autoSpaceDN w:val="0"/>
              <w:adjustRightInd w:val="0"/>
              <w:rPr>
                <w:rFonts w:ascii="LiberationSerif-Bold" w:cs="LiberationSerif-Bold"/>
                <w:b/>
                <w:bCs/>
                <w:sz w:val="25"/>
                <w:szCs w:val="25"/>
              </w:rPr>
            </w:pPr>
            <w:proofErr w:type="gramStart"/>
            <w:r w:rsidRPr="00D37982"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>dexamethasone</w:t>
            </w:r>
            <w:proofErr w:type="gramEnd"/>
            <w:r w:rsidRPr="00D37982"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 xml:space="preserve"> premedication regimen. It was characterized by one or more of the following events : poorly tolerated peripheral edema, generalized edema, pleural effusion requiring urgent drainage, dyspnea at rest, cardiac </w:t>
            </w:r>
            <w:proofErr w:type="spellStart"/>
            <w:r w:rsidRPr="00D37982"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>tamponade</w:t>
            </w:r>
            <w:proofErr w:type="spellEnd"/>
            <w:r w:rsidRPr="00D37982">
              <w:rPr>
                <w:rFonts w:ascii="LiberationSerif-Bold" w:cs="LiberationSerif-Bold"/>
                <w:b/>
                <w:bCs/>
                <w:sz w:val="25"/>
                <w:szCs w:val="25"/>
                <w:highlight w:val="darkCyan"/>
              </w:rPr>
              <w:t>, or pronounced abdominal distention (due to ascites )</w:t>
            </w:r>
          </w:p>
          <w:p w:rsidR="00306DE8" w:rsidRP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</w:p>
          <w:p w:rsid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306DE8" w:rsidRPr="00E4475C" w:rsidRDefault="00306DE8" w:rsidP="00306DE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highlight w:val="darkCyan"/>
              </w:rPr>
            </w:pPr>
            <w:r w:rsidRPr="00E4475C">
              <w:rPr>
                <w:i/>
                <w:sz w:val="22"/>
                <w:szCs w:val="22"/>
                <w:highlight w:val="darkCyan"/>
              </w:rPr>
              <w:t>Ethanol</w:t>
            </w:r>
          </w:p>
          <w:p w:rsidR="00306DE8" w:rsidRPr="00E4475C" w:rsidRDefault="00306DE8" w:rsidP="00306DE8">
            <w:pPr>
              <w:autoSpaceDE w:val="0"/>
              <w:autoSpaceDN w:val="0"/>
              <w:adjustRightInd w:val="0"/>
              <w:rPr>
                <w:sz w:val="16"/>
                <w:szCs w:val="16"/>
                <w:highlight w:val="darkCyan"/>
              </w:rPr>
            </w:pPr>
          </w:p>
          <w:p w:rsidR="00306DE8" w:rsidRPr="00E4475C" w:rsidRDefault="00306DE8" w:rsidP="00306D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darkCyan"/>
              </w:rPr>
            </w:pPr>
            <w:r w:rsidRPr="00E4475C">
              <w:rPr>
                <w:sz w:val="22"/>
                <w:szCs w:val="22"/>
                <w:highlight w:val="darkCyan"/>
              </w:rPr>
              <w:t>This product contains ethanol.</w:t>
            </w:r>
          </w:p>
          <w:p w:rsidR="00306DE8" w:rsidRPr="00E4475C" w:rsidRDefault="00306DE8" w:rsidP="00306D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darkCyan"/>
              </w:rPr>
            </w:pPr>
            <w:r w:rsidRPr="00E4475C">
              <w:rPr>
                <w:sz w:val="22"/>
                <w:szCs w:val="22"/>
                <w:highlight w:val="darkCyan"/>
              </w:rPr>
              <w:t xml:space="preserve">Harmful for those suffering from alcoholism. </w:t>
            </w:r>
          </w:p>
          <w:p w:rsidR="00306DE8" w:rsidRPr="00E4475C" w:rsidRDefault="00306DE8" w:rsidP="00306D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darkCyan"/>
              </w:rPr>
            </w:pPr>
            <w:r w:rsidRPr="00E4475C">
              <w:rPr>
                <w:sz w:val="22"/>
                <w:szCs w:val="22"/>
                <w:highlight w:val="darkCyan"/>
              </w:rPr>
              <w:t xml:space="preserve">To be taken into account in pregnant or breast-feeding women, children and high-risk groups such as patients with liver disease, or epilepsy. </w:t>
            </w:r>
          </w:p>
          <w:p w:rsidR="00306DE8" w:rsidRPr="00E4475C" w:rsidRDefault="00306DE8" w:rsidP="00306D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darkCyan"/>
              </w:rPr>
            </w:pPr>
            <w:r w:rsidRPr="00E4475C">
              <w:rPr>
                <w:sz w:val="22"/>
                <w:szCs w:val="22"/>
                <w:highlight w:val="darkCyan"/>
              </w:rPr>
              <w:br w:type="page"/>
            </w:r>
          </w:p>
          <w:p w:rsidR="00306DE8" w:rsidRPr="00E4475C" w:rsidRDefault="00306DE8" w:rsidP="00306D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darkCyan"/>
              </w:rPr>
            </w:pPr>
            <w:r w:rsidRPr="00E4475C">
              <w:rPr>
                <w:sz w:val="22"/>
                <w:szCs w:val="22"/>
                <w:highlight w:val="darkCyan"/>
              </w:rPr>
              <w:t xml:space="preserve">The amount of alcohol in this medicinal product may alter the effects of other medicinal products. </w:t>
            </w:r>
          </w:p>
          <w:p w:rsidR="00306DE8" w:rsidRPr="00E4475C" w:rsidRDefault="00306DE8" w:rsidP="00306DE8">
            <w:pPr>
              <w:tabs>
                <w:tab w:val="left" w:pos="426"/>
                <w:tab w:val="left" w:pos="567"/>
                <w:tab w:val="left" w:pos="720"/>
                <w:tab w:val="left" w:pos="1260"/>
              </w:tabs>
              <w:suppressAutoHyphens/>
              <w:rPr>
                <w:sz w:val="22"/>
                <w:szCs w:val="22"/>
                <w:highlight w:val="darkCyan"/>
              </w:rPr>
            </w:pPr>
            <w:r w:rsidRPr="00E4475C">
              <w:rPr>
                <w:sz w:val="22"/>
                <w:szCs w:val="22"/>
                <w:highlight w:val="darkCyan"/>
              </w:rPr>
              <w:t xml:space="preserve">The amount of alcohol in this medicinal product may impair the </w:t>
            </w:r>
            <w:proofErr w:type="spellStart"/>
            <w:proofErr w:type="gramStart"/>
            <w:r w:rsidRPr="00E4475C">
              <w:rPr>
                <w:sz w:val="22"/>
                <w:szCs w:val="22"/>
                <w:highlight w:val="darkCyan"/>
              </w:rPr>
              <w:t>patients</w:t>
            </w:r>
            <w:proofErr w:type="spellEnd"/>
            <w:proofErr w:type="gramEnd"/>
            <w:r w:rsidRPr="00E4475C">
              <w:rPr>
                <w:sz w:val="22"/>
                <w:szCs w:val="22"/>
                <w:highlight w:val="darkCyan"/>
              </w:rPr>
              <w:t xml:space="preserve"> ability to drive or use machines</w:t>
            </w:r>
            <w:r w:rsidRPr="00E4475C">
              <w:rPr>
                <w:color w:val="FF0000"/>
                <w:sz w:val="22"/>
                <w:szCs w:val="22"/>
                <w:highlight w:val="darkCyan"/>
              </w:rPr>
              <w:t>.</w:t>
            </w:r>
          </w:p>
          <w:p w:rsidR="00306DE8" w:rsidRDefault="00306DE8" w:rsidP="00306DE8">
            <w:pPr>
              <w:tabs>
                <w:tab w:val="left" w:pos="426"/>
                <w:tab w:val="left" w:pos="567"/>
                <w:tab w:val="left" w:pos="720"/>
                <w:tab w:val="left" w:pos="1260"/>
              </w:tabs>
              <w:suppressAutoHyphens/>
              <w:rPr>
                <w:sz w:val="22"/>
                <w:szCs w:val="22"/>
                <w:highlight w:val="darkCyan"/>
              </w:rPr>
            </w:pPr>
          </w:p>
          <w:p w:rsidR="00306DE8" w:rsidRP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</w:p>
          <w:p w:rsidR="007E224A" w:rsidRPr="00306DE8" w:rsidRDefault="00AE4B23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C17F62"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  <w:lastRenderedPageBreak/>
              <w:t>///////////////////////////////</w:t>
            </w:r>
          </w:p>
          <w:p w:rsidR="00AE4B23" w:rsidRPr="00AE4B23" w:rsidRDefault="00AE4B23" w:rsidP="00AE4B23">
            <w:pPr>
              <w:tabs>
                <w:tab w:val="left" w:pos="567"/>
              </w:tabs>
              <w:suppressAutoHyphens/>
              <w:bidi w:val="0"/>
              <w:rPr>
                <w:rFonts w:ascii="Arial" w:hAnsi="Arial" w:cs="Arial"/>
                <w:b/>
                <w:sz w:val="20"/>
                <w:szCs w:val="20"/>
                <w:lang w:val="en-GB" w:eastAsia="en-US" w:bidi="ar-SA"/>
              </w:rPr>
            </w:pPr>
            <w:r w:rsidRPr="00AE4B23">
              <w:rPr>
                <w:rFonts w:ascii="Arial" w:hAnsi="Arial" w:cs="Arial"/>
                <w:b/>
                <w:sz w:val="20"/>
                <w:szCs w:val="20"/>
                <w:lang w:val="en-GB" w:eastAsia="en-US" w:bidi="ar-SA"/>
              </w:rPr>
              <w:t>Pati</w:t>
            </w:r>
            <w:smartTag w:uri="urn:schemas-microsoft-com:office:smarttags" w:element="PersonName">
              <w:r w:rsidRPr="00AE4B23">
                <w:rPr>
                  <w:rFonts w:ascii="Arial" w:hAnsi="Arial" w:cs="Arial"/>
                  <w:b/>
                  <w:sz w:val="20"/>
                  <w:szCs w:val="20"/>
                  <w:lang w:val="en-GB" w:eastAsia="en-US" w:bidi="ar-SA"/>
                </w:rPr>
                <w:t>e</w:t>
              </w:r>
            </w:smartTag>
            <w:r w:rsidRPr="00AE4B23">
              <w:rPr>
                <w:rFonts w:ascii="Arial" w:hAnsi="Arial" w:cs="Arial"/>
                <w:b/>
                <w:sz w:val="20"/>
                <w:szCs w:val="20"/>
                <w:lang w:val="en-GB" w:eastAsia="en-US" w:bidi="ar-SA"/>
              </w:rPr>
              <w:t>nts with liv</w:t>
            </w:r>
            <w:smartTag w:uri="urn:schemas-microsoft-com:office:smarttags" w:element="PersonName">
              <w:r w:rsidRPr="00AE4B23">
                <w:rPr>
                  <w:rFonts w:ascii="Arial" w:hAnsi="Arial" w:cs="Arial"/>
                  <w:b/>
                  <w:sz w:val="20"/>
                  <w:szCs w:val="20"/>
                  <w:lang w:val="en-GB" w:eastAsia="en-US" w:bidi="ar-SA"/>
                </w:rPr>
                <w:t>e</w:t>
              </w:r>
            </w:smartTag>
            <w:r w:rsidRPr="00AE4B23">
              <w:rPr>
                <w:rFonts w:ascii="Arial" w:hAnsi="Arial" w:cs="Arial"/>
                <w:b/>
                <w:sz w:val="20"/>
                <w:szCs w:val="20"/>
                <w:lang w:val="en-GB" w:eastAsia="en-US" w:bidi="ar-SA"/>
              </w:rPr>
              <w:t>r impairm</w:t>
            </w:r>
            <w:smartTag w:uri="urn:schemas-microsoft-com:office:smarttags" w:element="PersonName">
              <w:r w:rsidRPr="00AE4B23">
                <w:rPr>
                  <w:rFonts w:ascii="Arial" w:hAnsi="Arial" w:cs="Arial"/>
                  <w:b/>
                  <w:sz w:val="20"/>
                  <w:szCs w:val="20"/>
                  <w:lang w:val="en-GB" w:eastAsia="en-US" w:bidi="ar-SA"/>
                </w:rPr>
                <w:t>e</w:t>
              </w:r>
            </w:smartTag>
            <w:r w:rsidRPr="00AE4B23">
              <w:rPr>
                <w:rFonts w:ascii="Arial" w:hAnsi="Arial" w:cs="Arial"/>
                <w:b/>
                <w:sz w:val="20"/>
                <w:szCs w:val="20"/>
                <w:lang w:val="en-GB" w:eastAsia="en-US" w:bidi="ar-SA"/>
              </w:rPr>
              <w:t>nt</w:t>
            </w:r>
          </w:p>
          <w:p w:rsidR="00AE4B23" w:rsidRPr="00C17F62" w:rsidRDefault="00AE4B23" w:rsidP="00AE4B23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  <w:r w:rsidRPr="00C17F62"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  <w:t>//////////////////////////////</w:t>
            </w:r>
          </w:p>
          <w:p w:rsidR="00AE4B23" w:rsidRPr="00AE4B23" w:rsidRDefault="00AE4B23" w:rsidP="00AE4B23">
            <w:pPr>
              <w:tabs>
                <w:tab w:val="left" w:pos="567"/>
                <w:tab w:val="left" w:pos="7655"/>
              </w:tabs>
              <w:suppressAutoHyphens/>
              <w:bidi w:val="0"/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  <w:r w:rsidRPr="00AE4B23">
              <w:rPr>
                <w:rFonts w:ascii="Arial" w:hAnsi="Arial" w:cs="Arial"/>
                <w:sz w:val="20"/>
                <w:szCs w:val="20"/>
                <w:highlight w:val="yellow"/>
                <w:lang w:val="en-GB" w:eastAsia="en-US" w:bidi="ar-SA"/>
              </w:rPr>
              <w:t xml:space="preserve">The amount of ethanol in </w:t>
            </w:r>
            <w:proofErr w:type="spellStart"/>
            <w:r w:rsidRPr="00AE4B23">
              <w:rPr>
                <w:rFonts w:ascii="Arial" w:hAnsi="Arial" w:cs="Arial"/>
                <w:sz w:val="20"/>
                <w:szCs w:val="20"/>
                <w:highlight w:val="yellow"/>
                <w:lang w:val="en-GB" w:eastAsia="en-US" w:bidi="ar-SA"/>
              </w:rPr>
              <w:t>Taxotere</w:t>
            </w:r>
            <w:proofErr w:type="spellEnd"/>
            <w:r w:rsidRPr="00AE4B23">
              <w:rPr>
                <w:rFonts w:ascii="Arial" w:hAnsi="Arial" w:cs="Arial"/>
                <w:sz w:val="20"/>
                <w:szCs w:val="20"/>
                <w:highlight w:val="yellow"/>
                <w:lang w:val="en-GB" w:eastAsia="en-US" w:bidi="ar-SA"/>
              </w:rPr>
              <w:t xml:space="preserve"> should be taken into account when given to patients with hepatic impairment (see below “Excipients”).</w:t>
            </w:r>
          </w:p>
          <w:p w:rsidR="00AE4B23" w:rsidRDefault="00AE4B23" w:rsidP="00AE4B23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  <w:r w:rsidRPr="00C17F62"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  <w:t>//////////////////////////////</w:t>
            </w:r>
          </w:p>
          <w:p w:rsidR="00306DE8" w:rsidRPr="00AA68B1" w:rsidRDefault="00306DE8" w:rsidP="00306DE8">
            <w:pPr>
              <w:tabs>
                <w:tab w:val="left" w:pos="567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A68B1">
              <w:rPr>
                <w:rFonts w:ascii="Arial" w:hAnsi="Arial" w:cs="Arial"/>
                <w:b/>
                <w:sz w:val="20"/>
                <w:szCs w:val="20"/>
              </w:rPr>
              <w:t>Hypersensitivity r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b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  <w:p w:rsidR="00306DE8" w:rsidRPr="00AA68B1" w:rsidRDefault="00306DE8" w:rsidP="00306DE8">
            <w:pPr>
              <w:tabs>
                <w:tab w:val="left" w:pos="426"/>
                <w:tab w:val="left" w:pos="567"/>
                <w:tab w:val="left" w:pos="720"/>
                <w:tab w:val="left" w:pos="126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E36CC2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AA68B1">
              <w:rPr>
                <w:rFonts w:ascii="Arial" w:hAnsi="Arial" w:cs="Arial"/>
                <w:sz w:val="20"/>
                <w:szCs w:val="20"/>
              </w:rPr>
              <w:t>Patients should be observed closely for hypersensitivity reactions especially during the first and second infusions.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1247">
              <w:rPr>
                <w:rFonts w:ascii="Arial" w:hAnsi="Arial" w:cs="Arial"/>
                <w:sz w:val="20"/>
                <w:szCs w:val="20"/>
                <w:highlight w:val="darkCyan"/>
              </w:rPr>
              <w:t xml:space="preserve">Severe hypersensitivity reactions characterized by generalized rash/erythema, hypotension and/or bronchospasm, or very rarely fatal anaphylaxis, have been reported in patients </w:t>
            </w:r>
            <w:proofErr w:type="spellStart"/>
            <w:r w:rsidRPr="00A11247">
              <w:rPr>
                <w:rFonts w:ascii="Arial" w:hAnsi="Arial" w:cs="Arial"/>
                <w:sz w:val="20"/>
                <w:szCs w:val="20"/>
                <w:highlight w:val="darkCyan"/>
              </w:rPr>
              <w:t>premedicated</w:t>
            </w:r>
            <w:proofErr w:type="spellEnd"/>
            <w:r w:rsidRPr="00A11247">
              <w:rPr>
                <w:rFonts w:ascii="Arial" w:hAnsi="Arial" w:cs="Arial"/>
                <w:sz w:val="20"/>
                <w:szCs w:val="20"/>
                <w:highlight w:val="darkCyan"/>
              </w:rPr>
              <w:t xml:space="preserve"> with 3 days of corticosteroids</w:t>
            </w:r>
            <w:r>
              <w:rPr>
                <w:rFonts w:ascii="LiberationSerif" w:cs="LiberationSerif"/>
                <w:sz w:val="25"/>
                <w:szCs w:val="25"/>
              </w:rPr>
              <w:t>.</w:t>
            </w:r>
            <w:r w:rsidRPr="00AA68B1">
              <w:rPr>
                <w:rFonts w:ascii="Arial" w:hAnsi="Arial" w:cs="Arial"/>
                <w:sz w:val="20"/>
                <w:szCs w:val="20"/>
              </w:rPr>
              <w:t xml:space="preserve"> Hyp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rs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nsitivity r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actions may occur within a f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w minut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s following th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 xml:space="preserve"> initiation of th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 xml:space="preserve"> infusion of </w:t>
            </w:r>
            <w:proofErr w:type="spellStart"/>
            <w:r w:rsidRPr="00AA68B1">
              <w:rPr>
                <w:rFonts w:ascii="Arial" w:hAnsi="Arial" w:cs="Arial"/>
                <w:sz w:val="20"/>
                <w:szCs w:val="20"/>
              </w:rPr>
              <w:t>doc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tax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AA68B1">
              <w:rPr>
                <w:rFonts w:ascii="Arial" w:hAnsi="Arial" w:cs="Arial"/>
                <w:sz w:val="20"/>
                <w:szCs w:val="20"/>
              </w:rPr>
              <w:t>, thus faciliti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s for th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 xml:space="preserve"> tr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atm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nt of hypot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nsion and bronchospasm should b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 xml:space="preserve"> availabl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. If hyp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rs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nsitivity r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 xml:space="preserve">actions occur, minor symptoms such as flushing or </w:t>
            </w:r>
            <w:proofErr w:type="spellStart"/>
            <w:r w:rsidRPr="00AA68B1">
              <w:rPr>
                <w:rFonts w:ascii="Arial" w:hAnsi="Arial" w:cs="Arial"/>
                <w:sz w:val="20"/>
                <w:szCs w:val="20"/>
              </w:rPr>
              <w:t>localis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  <w:r w:rsidRPr="00AA68B1">
              <w:rPr>
                <w:rFonts w:ascii="Arial" w:hAnsi="Arial" w:cs="Arial"/>
                <w:sz w:val="20"/>
                <w:szCs w:val="20"/>
              </w:rPr>
              <w:t xml:space="preserve"> cutan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ous r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actions do not r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quir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 xml:space="preserve"> int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rruption of th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rapy. How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v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r, s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v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r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 xml:space="preserve"> r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actions, such as s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v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r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 xml:space="preserve"> hypot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 xml:space="preserve">nsion, bronchospasm or </w:t>
            </w:r>
            <w:proofErr w:type="spellStart"/>
            <w:r w:rsidRPr="00AA68B1">
              <w:rPr>
                <w:rFonts w:ascii="Arial" w:hAnsi="Arial" w:cs="Arial"/>
                <w:sz w:val="20"/>
                <w:szCs w:val="20"/>
              </w:rPr>
              <w:t>g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n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ralis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  <w:r w:rsidRPr="00AA68B1">
              <w:rPr>
                <w:rFonts w:ascii="Arial" w:hAnsi="Arial" w:cs="Arial"/>
                <w:sz w:val="20"/>
                <w:szCs w:val="20"/>
              </w:rPr>
              <w:t xml:space="preserve"> rash/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ryth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ma r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quir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 xml:space="preserve"> imm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diat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 xml:space="preserve"> discontinuation of </w:t>
            </w:r>
            <w:proofErr w:type="spellStart"/>
            <w:r w:rsidRPr="00AA68B1">
              <w:rPr>
                <w:rFonts w:ascii="Arial" w:hAnsi="Arial" w:cs="Arial"/>
                <w:sz w:val="20"/>
                <w:szCs w:val="20"/>
              </w:rPr>
              <w:t>doc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tax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AA68B1">
              <w:rPr>
                <w:rFonts w:ascii="Arial" w:hAnsi="Arial" w:cs="Arial"/>
                <w:sz w:val="20"/>
                <w:szCs w:val="20"/>
              </w:rPr>
              <w:t xml:space="preserve"> and appropriat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 xml:space="preserve"> th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sz w:val="20"/>
                <w:szCs w:val="20"/>
              </w:rPr>
              <w:t xml:space="preserve">rapy. Patients who have developed severe hypersensitivity reactions should not be re-challenged with </w:t>
            </w:r>
            <w:proofErr w:type="spellStart"/>
            <w:r w:rsidRPr="00AA68B1">
              <w:rPr>
                <w:rFonts w:ascii="Arial" w:hAnsi="Arial" w:cs="Arial"/>
                <w:sz w:val="20"/>
                <w:szCs w:val="20"/>
              </w:rPr>
              <w:t>docetaxel</w:t>
            </w:r>
            <w:proofErr w:type="spellEnd"/>
          </w:p>
          <w:p w:rsidR="00306DE8" w:rsidRPr="00AA68B1" w:rsidRDefault="00306DE8" w:rsidP="00306DE8">
            <w:pPr>
              <w:tabs>
                <w:tab w:val="left" w:pos="567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A68B1">
              <w:rPr>
                <w:rFonts w:ascii="Arial" w:hAnsi="Arial" w:cs="Arial"/>
                <w:b/>
                <w:sz w:val="20"/>
                <w:szCs w:val="20"/>
              </w:rPr>
              <w:t>Fluid r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b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b/>
                <w:sz w:val="20"/>
                <w:szCs w:val="20"/>
              </w:rPr>
              <w:t>t</w:t>
            </w:r>
            <w:smartTag w:uri="urn:schemas-microsoft-com:office:smarttags" w:element="PersonName">
              <w:r w:rsidRPr="00AA68B1">
                <w:rPr>
                  <w:rFonts w:ascii="Arial" w:hAnsi="Arial" w:cs="Arial"/>
                  <w:b/>
                  <w:sz w:val="20"/>
                  <w:szCs w:val="20"/>
                </w:rPr>
                <w:t>e</w:t>
              </w:r>
            </w:smartTag>
            <w:r w:rsidRPr="00AA68B1">
              <w:rPr>
                <w:rFonts w:ascii="Arial" w:hAnsi="Arial" w:cs="Arial"/>
                <w:b/>
                <w:sz w:val="20"/>
                <w:szCs w:val="20"/>
              </w:rPr>
              <w:t>ntion</w:t>
            </w:r>
          </w:p>
          <w:p w:rsidR="00306DE8" w:rsidRPr="00AA68B1" w:rsidRDefault="00306DE8" w:rsidP="00306DE8">
            <w:pPr>
              <w:tabs>
                <w:tab w:val="left" w:pos="426"/>
                <w:tab w:val="left" w:pos="567"/>
                <w:tab w:val="left" w:pos="720"/>
                <w:tab w:val="left" w:pos="126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306DE8" w:rsidRDefault="00306DE8" w:rsidP="00306DE8">
            <w:pPr>
              <w:pStyle w:val="Authors"/>
              <w:keepNext w:val="0"/>
              <w:tabs>
                <w:tab w:val="clear" w:pos="2268"/>
                <w:tab w:val="left" w:pos="426"/>
                <w:tab w:val="left" w:pos="567"/>
                <w:tab w:val="left" w:pos="720"/>
                <w:tab w:val="left" w:pos="1260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 w:val="20"/>
              </w:rPr>
            </w:pPr>
            <w:r w:rsidRPr="00AA68B1">
              <w:rPr>
                <w:rFonts w:cs="Arial"/>
                <w:sz w:val="20"/>
              </w:rPr>
              <w:t>Pati</w:t>
            </w:r>
            <w:smartTag w:uri="urn:schemas-microsoft-com:office:smarttags" w:element="PersonName">
              <w:r w:rsidRPr="00AA68B1">
                <w:rPr>
                  <w:rFonts w:cs="Arial"/>
                  <w:sz w:val="20"/>
                </w:rPr>
                <w:t>e</w:t>
              </w:r>
            </w:smartTag>
            <w:r w:rsidRPr="00AA68B1">
              <w:rPr>
                <w:rFonts w:cs="Arial"/>
                <w:sz w:val="20"/>
              </w:rPr>
              <w:t>nts with s</w:t>
            </w:r>
            <w:smartTag w:uri="urn:schemas-microsoft-com:office:smarttags" w:element="PersonName">
              <w:r w:rsidRPr="00AA68B1">
                <w:rPr>
                  <w:rFonts w:cs="Arial"/>
                  <w:sz w:val="20"/>
                </w:rPr>
                <w:t>e</w:t>
              </w:r>
            </w:smartTag>
            <w:r w:rsidRPr="00AA68B1">
              <w:rPr>
                <w:rFonts w:cs="Arial"/>
                <w:sz w:val="20"/>
              </w:rPr>
              <w:t>v</w:t>
            </w:r>
            <w:smartTag w:uri="urn:schemas-microsoft-com:office:smarttags" w:element="PersonName">
              <w:r w:rsidRPr="00AA68B1">
                <w:rPr>
                  <w:rFonts w:cs="Arial"/>
                  <w:sz w:val="20"/>
                </w:rPr>
                <w:t>e</w:t>
              </w:r>
            </w:smartTag>
            <w:r w:rsidRPr="00AA68B1">
              <w:rPr>
                <w:rFonts w:cs="Arial"/>
                <w:sz w:val="20"/>
              </w:rPr>
              <w:t>r</w:t>
            </w:r>
            <w:smartTag w:uri="urn:schemas-microsoft-com:office:smarttags" w:element="PersonName">
              <w:r w:rsidRPr="00AA68B1">
                <w:rPr>
                  <w:rFonts w:cs="Arial"/>
                  <w:sz w:val="20"/>
                </w:rPr>
                <w:t>e</w:t>
              </w:r>
            </w:smartTag>
            <w:r w:rsidRPr="00AA68B1">
              <w:rPr>
                <w:rFonts w:cs="Arial"/>
                <w:sz w:val="20"/>
              </w:rPr>
              <w:t xml:space="preserve"> fluid r</w:t>
            </w:r>
            <w:smartTag w:uri="urn:schemas-microsoft-com:office:smarttags" w:element="PersonName">
              <w:r w:rsidRPr="00AA68B1">
                <w:rPr>
                  <w:rFonts w:cs="Arial"/>
                  <w:sz w:val="20"/>
                </w:rPr>
                <w:t>e</w:t>
              </w:r>
            </w:smartTag>
            <w:r w:rsidRPr="00AA68B1">
              <w:rPr>
                <w:rFonts w:cs="Arial"/>
                <w:sz w:val="20"/>
              </w:rPr>
              <w:t>t</w:t>
            </w:r>
            <w:smartTag w:uri="urn:schemas-microsoft-com:office:smarttags" w:element="PersonName">
              <w:r w:rsidRPr="00AA68B1">
                <w:rPr>
                  <w:rFonts w:cs="Arial"/>
                  <w:sz w:val="20"/>
                </w:rPr>
                <w:t>e</w:t>
              </w:r>
            </w:smartTag>
            <w:r w:rsidRPr="00AA68B1">
              <w:rPr>
                <w:rFonts w:cs="Arial"/>
                <w:sz w:val="20"/>
              </w:rPr>
              <w:t>ntion such as pl</w:t>
            </w:r>
            <w:smartTag w:uri="urn:schemas-microsoft-com:office:smarttags" w:element="PersonName">
              <w:r w:rsidRPr="00AA68B1">
                <w:rPr>
                  <w:rFonts w:cs="Arial"/>
                  <w:sz w:val="20"/>
                </w:rPr>
                <w:t>e</w:t>
              </w:r>
            </w:smartTag>
            <w:r w:rsidRPr="00AA68B1">
              <w:rPr>
                <w:rFonts w:cs="Arial"/>
                <w:sz w:val="20"/>
              </w:rPr>
              <w:t xml:space="preserve">ural </w:t>
            </w:r>
            <w:smartTag w:uri="urn:schemas-microsoft-com:office:smarttags" w:element="PersonName">
              <w:r w:rsidRPr="00AA68B1">
                <w:rPr>
                  <w:rFonts w:cs="Arial"/>
                  <w:sz w:val="20"/>
                </w:rPr>
                <w:t>e</w:t>
              </w:r>
            </w:smartTag>
            <w:r w:rsidRPr="00AA68B1">
              <w:rPr>
                <w:rFonts w:cs="Arial"/>
                <w:sz w:val="20"/>
              </w:rPr>
              <w:t>ffusion, p</w:t>
            </w:r>
            <w:smartTag w:uri="urn:schemas-microsoft-com:office:smarttags" w:element="PersonName">
              <w:r w:rsidRPr="00AA68B1">
                <w:rPr>
                  <w:rFonts w:cs="Arial"/>
                  <w:sz w:val="20"/>
                </w:rPr>
                <w:t>e</w:t>
              </w:r>
            </w:smartTag>
            <w:r w:rsidRPr="00AA68B1">
              <w:rPr>
                <w:rFonts w:cs="Arial"/>
                <w:sz w:val="20"/>
              </w:rPr>
              <w:t xml:space="preserve">ricardial </w:t>
            </w:r>
            <w:smartTag w:uri="urn:schemas-microsoft-com:office:smarttags" w:element="PersonName">
              <w:r w:rsidRPr="00AA68B1">
                <w:rPr>
                  <w:rFonts w:cs="Arial"/>
                  <w:sz w:val="20"/>
                </w:rPr>
                <w:t>e</w:t>
              </w:r>
            </w:smartTag>
            <w:r w:rsidRPr="00AA68B1">
              <w:rPr>
                <w:rFonts w:cs="Arial"/>
                <w:sz w:val="20"/>
              </w:rPr>
              <w:t>ffusion and ascit</w:t>
            </w:r>
            <w:smartTag w:uri="urn:schemas-microsoft-com:office:smarttags" w:element="PersonName">
              <w:r w:rsidRPr="00AA68B1">
                <w:rPr>
                  <w:rFonts w:cs="Arial"/>
                  <w:sz w:val="20"/>
                </w:rPr>
                <w:t>e</w:t>
              </w:r>
            </w:smartTag>
            <w:r w:rsidRPr="00AA68B1">
              <w:rPr>
                <w:rFonts w:cs="Arial"/>
                <w:sz w:val="20"/>
              </w:rPr>
              <w:t>s should b</w:t>
            </w:r>
            <w:smartTag w:uri="urn:schemas-microsoft-com:office:smarttags" w:element="PersonName">
              <w:r w:rsidRPr="00AA68B1">
                <w:rPr>
                  <w:rFonts w:cs="Arial"/>
                  <w:sz w:val="20"/>
                </w:rPr>
                <w:t>e</w:t>
              </w:r>
            </w:smartTag>
            <w:r w:rsidRPr="00AA68B1">
              <w:rPr>
                <w:rFonts w:cs="Arial"/>
                <w:sz w:val="20"/>
              </w:rPr>
              <w:t xml:space="preserve"> monitor</w:t>
            </w:r>
            <w:smartTag w:uri="urn:schemas-microsoft-com:office:smarttags" w:element="PersonName">
              <w:r w:rsidRPr="00AA68B1">
                <w:rPr>
                  <w:rFonts w:cs="Arial"/>
                  <w:sz w:val="20"/>
                </w:rPr>
                <w:t>e</w:t>
              </w:r>
            </w:smartTag>
            <w:r w:rsidRPr="00AA68B1">
              <w:rPr>
                <w:rFonts w:cs="Arial"/>
                <w:sz w:val="20"/>
              </w:rPr>
              <w:t>d clos</w:t>
            </w:r>
            <w:smartTag w:uri="urn:schemas-microsoft-com:office:smarttags" w:element="PersonName">
              <w:r w:rsidRPr="00AA68B1">
                <w:rPr>
                  <w:rFonts w:cs="Arial"/>
                  <w:sz w:val="20"/>
                </w:rPr>
                <w:t>e</w:t>
              </w:r>
            </w:smartTag>
            <w:r w:rsidRPr="00AA68B1">
              <w:rPr>
                <w:rFonts w:cs="Arial"/>
                <w:sz w:val="20"/>
              </w:rPr>
              <w:t>ly.</w:t>
            </w:r>
          </w:p>
          <w:p w:rsidR="00306DE8" w:rsidRPr="0066694D" w:rsidRDefault="00306DE8" w:rsidP="00306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highlight w:val="darkCyan"/>
              </w:rPr>
            </w:pPr>
            <w:r w:rsidRPr="0066694D">
              <w:rPr>
                <w:color w:val="000000"/>
                <w:sz w:val="23"/>
                <w:szCs w:val="23"/>
                <w:highlight w:val="darkCyan"/>
              </w:rPr>
              <w:t xml:space="preserve">Severe fluid retention has been reported following </w:t>
            </w:r>
            <w:proofErr w:type="spellStart"/>
            <w:r w:rsidRPr="0066694D">
              <w:rPr>
                <w:color w:val="000000"/>
                <w:sz w:val="23"/>
                <w:szCs w:val="23"/>
                <w:highlight w:val="darkCyan"/>
              </w:rPr>
              <w:t>docetaxel</w:t>
            </w:r>
            <w:proofErr w:type="spellEnd"/>
            <w:r w:rsidRPr="0066694D">
              <w:rPr>
                <w:color w:val="000000"/>
                <w:sz w:val="23"/>
                <w:szCs w:val="23"/>
                <w:highlight w:val="darkCyan"/>
              </w:rPr>
              <w:t xml:space="preserve"> therapy. Patients should be </w:t>
            </w:r>
            <w:proofErr w:type="spellStart"/>
            <w:r w:rsidRPr="0066694D">
              <w:rPr>
                <w:color w:val="000000"/>
                <w:sz w:val="23"/>
                <w:szCs w:val="23"/>
                <w:highlight w:val="darkCyan"/>
              </w:rPr>
              <w:t>premedicated</w:t>
            </w:r>
            <w:proofErr w:type="spellEnd"/>
            <w:r w:rsidRPr="0066694D">
              <w:rPr>
                <w:color w:val="000000"/>
                <w:sz w:val="23"/>
                <w:szCs w:val="23"/>
                <w:highlight w:val="darkCyan"/>
              </w:rPr>
              <w:t xml:space="preserve"> with oral corticosteroids prior to each </w:t>
            </w:r>
            <w:proofErr w:type="spellStart"/>
            <w:r w:rsidRPr="0066694D">
              <w:rPr>
                <w:color w:val="000000"/>
                <w:sz w:val="23"/>
                <w:szCs w:val="23"/>
                <w:highlight w:val="darkCyan"/>
              </w:rPr>
              <w:t>docetaxel</w:t>
            </w:r>
            <w:proofErr w:type="spellEnd"/>
            <w:r w:rsidRPr="0066694D">
              <w:rPr>
                <w:color w:val="000000"/>
                <w:sz w:val="23"/>
                <w:szCs w:val="23"/>
                <w:highlight w:val="darkCyan"/>
              </w:rPr>
              <w:t xml:space="preserve"> administration to reduce the incidence and severity of fluid retention. Patients with pre-existing effusions should be closely monitored from the first dose for the possible exacerbation of the effusions.</w:t>
            </w:r>
          </w:p>
          <w:p w:rsidR="00306DE8" w:rsidRPr="0066694D" w:rsidRDefault="00306DE8" w:rsidP="00306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highlight w:val="darkCyan"/>
              </w:rPr>
            </w:pPr>
            <w:r w:rsidRPr="0066694D">
              <w:rPr>
                <w:color w:val="000000"/>
                <w:sz w:val="23"/>
                <w:szCs w:val="23"/>
                <w:highlight w:val="darkCyan"/>
              </w:rPr>
              <w:t>When fluid retention occurs, peripheral edema usually starts in the lower extremities and may become generalized with a median weight gain of 2 kg.</w:t>
            </w:r>
          </w:p>
          <w:p w:rsidR="00306DE8" w:rsidRPr="0066694D" w:rsidRDefault="00306DE8" w:rsidP="00306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highlight w:val="darkCyan"/>
              </w:rPr>
            </w:pPr>
            <w:r w:rsidRPr="0066694D">
              <w:rPr>
                <w:color w:val="000000"/>
                <w:sz w:val="23"/>
                <w:szCs w:val="23"/>
                <w:highlight w:val="darkCyan"/>
              </w:rPr>
              <w:t xml:space="preserve">Among 92 breast cancer patients </w:t>
            </w:r>
            <w:proofErr w:type="spellStart"/>
            <w:r w:rsidRPr="0066694D">
              <w:rPr>
                <w:color w:val="000000"/>
                <w:sz w:val="23"/>
                <w:szCs w:val="23"/>
                <w:highlight w:val="darkCyan"/>
              </w:rPr>
              <w:t>premedicated</w:t>
            </w:r>
            <w:proofErr w:type="spellEnd"/>
            <w:r w:rsidRPr="0066694D">
              <w:rPr>
                <w:color w:val="000000"/>
                <w:sz w:val="23"/>
                <w:szCs w:val="23"/>
                <w:highlight w:val="darkCyan"/>
              </w:rPr>
              <w:t xml:space="preserve"> with 3-day corticosteroids, moderate fluid retention occurred in 27.2% and severe fluid retention in 6.5%. The median cumulative dose to onset of moderate or severe fluid retention was 819 mg/m</w:t>
            </w:r>
            <w:r w:rsidRPr="0066694D">
              <w:rPr>
                <w:color w:val="000000"/>
                <w:sz w:val="23"/>
                <w:szCs w:val="23"/>
                <w:highlight w:val="darkCyan"/>
                <w:vertAlign w:val="superscript"/>
              </w:rPr>
              <w:t>2</w:t>
            </w:r>
            <w:r w:rsidRPr="0066694D">
              <w:rPr>
                <w:color w:val="000000"/>
                <w:sz w:val="23"/>
                <w:szCs w:val="23"/>
                <w:highlight w:val="darkCyan"/>
              </w:rPr>
              <w:t>. Nine of 92 patients (9.8%) of patients discontinued treatment due to fluid retention: 4 patients discontinued with severe fluid retention; the remaining 5 had mild or moderate fluid retention. The median cumulative dose to treatment discontinuation due to fluid retention was 1021 mg/m</w:t>
            </w:r>
            <w:r w:rsidRPr="0066694D">
              <w:rPr>
                <w:color w:val="000000"/>
                <w:sz w:val="23"/>
                <w:szCs w:val="23"/>
                <w:highlight w:val="darkCyan"/>
                <w:vertAlign w:val="superscript"/>
              </w:rPr>
              <w:t>2</w:t>
            </w:r>
            <w:r w:rsidRPr="0066694D">
              <w:rPr>
                <w:color w:val="000000"/>
                <w:sz w:val="23"/>
                <w:szCs w:val="23"/>
                <w:highlight w:val="darkCyan"/>
              </w:rPr>
              <w:t xml:space="preserve">. Fluid retention was completely, but sometimes slowly, reversible with a median of 16 weeks from the last infusion of </w:t>
            </w:r>
            <w:proofErr w:type="spellStart"/>
            <w:r w:rsidRPr="0066694D">
              <w:rPr>
                <w:color w:val="000000"/>
                <w:sz w:val="23"/>
                <w:szCs w:val="23"/>
                <w:highlight w:val="darkCyan"/>
              </w:rPr>
              <w:t>docetaxel</w:t>
            </w:r>
            <w:proofErr w:type="spellEnd"/>
            <w:r w:rsidRPr="0066694D">
              <w:rPr>
                <w:color w:val="000000"/>
                <w:sz w:val="23"/>
                <w:szCs w:val="23"/>
                <w:highlight w:val="darkCyan"/>
              </w:rPr>
              <w:t xml:space="preserve"> to resolution (range: 0 to 42+ weeks). Patients developing peripheral edema may be treated with standard measures, e.g., salt restriction, oral diuretic(s).</w:t>
            </w:r>
          </w:p>
          <w:p w:rsidR="00306DE8" w:rsidRPr="00AA68B1" w:rsidRDefault="00306DE8" w:rsidP="00306DE8">
            <w:pPr>
              <w:tabs>
                <w:tab w:val="left" w:pos="567"/>
                <w:tab w:val="left" w:pos="7655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306DE8" w:rsidRPr="00F852A0" w:rsidRDefault="00306DE8" w:rsidP="00306DE8">
            <w:pPr>
              <w:pStyle w:val="Default"/>
              <w:rPr>
                <w:b/>
                <w:bCs/>
                <w:sz w:val="22"/>
                <w:szCs w:val="22"/>
                <w:highlight w:val="darkCyan"/>
              </w:rPr>
            </w:pPr>
            <w:r w:rsidRPr="00F852A0">
              <w:rPr>
                <w:b/>
                <w:bCs/>
                <w:sz w:val="22"/>
                <w:szCs w:val="22"/>
                <w:highlight w:val="darkCyan"/>
              </w:rPr>
              <w:lastRenderedPageBreak/>
              <w:t xml:space="preserve">Respiratory disorders </w:t>
            </w:r>
          </w:p>
          <w:p w:rsidR="00306DE8" w:rsidRPr="00F852A0" w:rsidRDefault="00306DE8" w:rsidP="00306DE8">
            <w:pPr>
              <w:pStyle w:val="Default"/>
              <w:rPr>
                <w:sz w:val="23"/>
                <w:szCs w:val="23"/>
                <w:highlight w:val="darkCyan"/>
              </w:rPr>
            </w:pPr>
            <w:r w:rsidRPr="00F852A0">
              <w:rPr>
                <w:sz w:val="22"/>
                <w:szCs w:val="22"/>
                <w:highlight w:val="darkCyan"/>
              </w:rPr>
              <w:t xml:space="preserve">Acute respiratory distress syndrome, interstitial pneumonia/pneumonitis, interstitial lung disease, pulmonary fibrosis and respiratory failure have been reported and may be associated with fatal outcome. </w:t>
            </w:r>
            <w:r w:rsidRPr="00F852A0">
              <w:rPr>
                <w:sz w:val="23"/>
                <w:szCs w:val="23"/>
                <w:highlight w:val="darkCyan"/>
              </w:rPr>
              <w:t xml:space="preserve">Cases of radiation pneumonitis have been reported in patients receiving concomitant radiotherapy. </w:t>
            </w:r>
          </w:p>
          <w:p w:rsidR="00306DE8" w:rsidRDefault="00306DE8" w:rsidP="00306DE8">
            <w:pPr>
              <w:tabs>
                <w:tab w:val="left" w:pos="567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852A0">
              <w:rPr>
                <w:sz w:val="22"/>
                <w:szCs w:val="22"/>
                <w:highlight w:val="darkCyan"/>
              </w:rPr>
              <w:t xml:space="preserve">If new or worsening pulmonary symptoms develop, patients should be closely monitored, promptly investigated, and appropriately treated. Interruption of </w:t>
            </w:r>
            <w:proofErr w:type="spellStart"/>
            <w:r w:rsidRPr="00F852A0">
              <w:rPr>
                <w:sz w:val="22"/>
                <w:szCs w:val="22"/>
                <w:highlight w:val="darkCyan"/>
              </w:rPr>
              <w:t>docetaxel</w:t>
            </w:r>
            <w:proofErr w:type="spellEnd"/>
            <w:r w:rsidRPr="00F852A0">
              <w:rPr>
                <w:sz w:val="22"/>
                <w:szCs w:val="22"/>
                <w:highlight w:val="darkCyan"/>
              </w:rPr>
              <w:t xml:space="preserve"> therapy is recommended until diagnosis is available. Early use of supportive care measures may help improve the condition. The benefit of resuming </w:t>
            </w:r>
            <w:proofErr w:type="spellStart"/>
            <w:r w:rsidRPr="00F852A0">
              <w:rPr>
                <w:sz w:val="22"/>
                <w:szCs w:val="22"/>
                <w:highlight w:val="darkCyan"/>
              </w:rPr>
              <w:t>docetaxel</w:t>
            </w:r>
            <w:proofErr w:type="spellEnd"/>
            <w:r w:rsidRPr="00F852A0">
              <w:rPr>
                <w:sz w:val="22"/>
                <w:szCs w:val="22"/>
                <w:highlight w:val="darkCyan"/>
              </w:rPr>
              <w:t xml:space="preserve"> treatment must be carefully evaluated</w:t>
            </w:r>
            <w:r>
              <w:rPr>
                <w:sz w:val="22"/>
                <w:szCs w:val="22"/>
              </w:rPr>
              <w:t>.</w:t>
            </w:r>
          </w:p>
          <w:p w:rsidR="00306DE8" w:rsidRPr="00306DE8" w:rsidRDefault="00306DE8" w:rsidP="00306DE8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</w:p>
          <w:p w:rsidR="00580EB7" w:rsidRDefault="00580EB7" w:rsidP="00580EB7">
            <w:pPr>
              <w:pStyle w:val="Default"/>
              <w:rPr>
                <w:rFonts w:ascii="Arial" w:hAnsi="Arial" w:cs="Arial"/>
                <w:b/>
                <w:i/>
                <w:iCs/>
                <w:color w:val="auto"/>
                <w:sz w:val="20"/>
                <w:szCs w:val="20"/>
                <w:lang w:bidi="ar-SA"/>
              </w:rPr>
            </w:pPr>
            <w:r w:rsidRPr="001F2EF7">
              <w:rPr>
                <w:rFonts w:ascii="Arial" w:hAnsi="Arial" w:cs="Arial"/>
                <w:b/>
                <w:i/>
                <w:iCs/>
                <w:color w:val="auto"/>
                <w:sz w:val="20"/>
                <w:szCs w:val="20"/>
                <w:highlight w:val="yellow"/>
                <w:lang w:bidi="ar-SA"/>
              </w:rPr>
              <w:t>Interactions</w:t>
            </w:r>
          </w:p>
          <w:p w:rsidR="00580EB7" w:rsidRPr="00E42ADC" w:rsidRDefault="00580EB7" w:rsidP="00580E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2AD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The concomitant use of </w:t>
            </w:r>
            <w:proofErr w:type="spellStart"/>
            <w:r w:rsidRPr="00E42ADC">
              <w:rPr>
                <w:rFonts w:ascii="Arial" w:hAnsi="Arial" w:cs="Arial"/>
                <w:sz w:val="20"/>
                <w:szCs w:val="20"/>
                <w:highlight w:val="yellow"/>
              </w:rPr>
              <w:t>Taxotere</w:t>
            </w:r>
            <w:proofErr w:type="spellEnd"/>
            <w:r w:rsidRPr="00E42AD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with strong CYP3A4 inhibitors (e.g., ketoconazole, </w:t>
            </w:r>
            <w:proofErr w:type="spellStart"/>
            <w:r w:rsidRPr="00E42ADC">
              <w:rPr>
                <w:rFonts w:ascii="Arial" w:hAnsi="Arial" w:cs="Arial"/>
                <w:sz w:val="20"/>
                <w:szCs w:val="20"/>
                <w:highlight w:val="yellow"/>
              </w:rPr>
              <w:t>itraconazole</w:t>
            </w:r>
            <w:proofErr w:type="spellEnd"/>
            <w:r w:rsidRPr="00E42AD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clarithromycin, </w:t>
            </w:r>
            <w:proofErr w:type="spellStart"/>
            <w:r w:rsidRPr="00E42ADC">
              <w:rPr>
                <w:rFonts w:ascii="Arial" w:hAnsi="Arial" w:cs="Arial"/>
                <w:sz w:val="20"/>
                <w:szCs w:val="20"/>
                <w:highlight w:val="yellow"/>
              </w:rPr>
              <w:t>indinavir</w:t>
            </w:r>
            <w:proofErr w:type="spellEnd"/>
            <w:r w:rsidRPr="00E42AD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E42ADC">
              <w:rPr>
                <w:rFonts w:ascii="Arial" w:hAnsi="Arial" w:cs="Arial"/>
                <w:sz w:val="20"/>
                <w:szCs w:val="20"/>
                <w:highlight w:val="yellow"/>
              </w:rPr>
              <w:t>nefazodone</w:t>
            </w:r>
            <w:proofErr w:type="spellEnd"/>
            <w:r w:rsidRPr="00E42AD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E42ADC">
              <w:rPr>
                <w:rFonts w:ascii="Arial" w:hAnsi="Arial" w:cs="Arial"/>
                <w:sz w:val="20"/>
                <w:szCs w:val="20"/>
                <w:highlight w:val="yellow"/>
              </w:rPr>
              <w:t>nelfinavir</w:t>
            </w:r>
            <w:proofErr w:type="spellEnd"/>
            <w:r w:rsidRPr="00E42AD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ritonavir, </w:t>
            </w:r>
            <w:proofErr w:type="spellStart"/>
            <w:r w:rsidRPr="00E42ADC">
              <w:rPr>
                <w:rFonts w:ascii="Arial" w:hAnsi="Arial" w:cs="Arial"/>
                <w:sz w:val="20"/>
                <w:szCs w:val="20"/>
                <w:highlight w:val="yellow"/>
              </w:rPr>
              <w:t>saquinavir</w:t>
            </w:r>
            <w:proofErr w:type="spellEnd"/>
            <w:r w:rsidRPr="00E42AD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E42ADC">
              <w:rPr>
                <w:rFonts w:ascii="Arial" w:hAnsi="Arial" w:cs="Arial"/>
                <w:sz w:val="20"/>
                <w:szCs w:val="20"/>
                <w:highlight w:val="yellow"/>
              </w:rPr>
              <w:t>telithromycin</w:t>
            </w:r>
            <w:proofErr w:type="spellEnd"/>
            <w:r w:rsidRPr="00E42AD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and </w:t>
            </w:r>
            <w:proofErr w:type="spellStart"/>
            <w:r w:rsidRPr="00E42ADC">
              <w:rPr>
                <w:rFonts w:ascii="Arial" w:hAnsi="Arial" w:cs="Arial"/>
                <w:sz w:val="20"/>
                <w:szCs w:val="20"/>
                <w:highlight w:val="yellow"/>
              </w:rPr>
              <w:t>voriconazole</w:t>
            </w:r>
            <w:proofErr w:type="spellEnd"/>
            <w:r w:rsidRPr="00E42ADC">
              <w:rPr>
                <w:rFonts w:ascii="Arial" w:hAnsi="Arial" w:cs="Arial"/>
                <w:sz w:val="20"/>
                <w:szCs w:val="20"/>
                <w:highlight w:val="yellow"/>
              </w:rPr>
              <w:t>) should be avoided (see Section 4.5).</w:t>
            </w:r>
          </w:p>
          <w:p w:rsidR="00580EB7" w:rsidRDefault="00580EB7" w:rsidP="00580EB7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  <w:r w:rsidRPr="00C17F62"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  <w:t>//////////////////////////////</w:t>
            </w:r>
          </w:p>
          <w:p w:rsidR="00E36CC2" w:rsidRDefault="00E36CC2" w:rsidP="00E36CC2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</w:p>
          <w:p w:rsidR="00E36CC2" w:rsidRPr="00AA68B1" w:rsidRDefault="00E36CC2" w:rsidP="00E36CC2">
            <w:pPr>
              <w:pStyle w:val="TblTextLeft"/>
              <w:keepNext/>
              <w:keepLines/>
              <w:spacing w:before="0" w:after="0"/>
              <w:rPr>
                <w:rStyle w:val="BoldCharacter"/>
                <w:rFonts w:ascii="Arial" w:hAnsi="Arial" w:cs="Arial"/>
                <w:i/>
                <w:iCs/>
              </w:rPr>
            </w:pPr>
            <w:r w:rsidRPr="00AA68B1">
              <w:rPr>
                <w:rStyle w:val="BoldCharacter"/>
                <w:rFonts w:ascii="Arial" w:hAnsi="Arial" w:cs="Arial"/>
                <w:i/>
                <w:iCs/>
              </w:rPr>
              <w:t>Excipients</w:t>
            </w:r>
          </w:p>
          <w:p w:rsidR="00E36CC2" w:rsidRDefault="00E36CC2" w:rsidP="00E36CC2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  <w:r w:rsidRPr="00C17F62"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  <w:t>//////////////////////////////</w:t>
            </w:r>
          </w:p>
          <w:p w:rsidR="00E36CC2" w:rsidRDefault="00E36CC2" w:rsidP="00E36CC2">
            <w:pPr>
              <w:pStyle w:val="Authors"/>
              <w:keepNext w:val="0"/>
              <w:tabs>
                <w:tab w:val="clear" w:pos="2268"/>
              </w:tabs>
              <w:spacing w:before="0"/>
              <w:rPr>
                <w:rFonts w:cs="Arial"/>
                <w:sz w:val="20"/>
                <w:highlight w:val="green"/>
              </w:rPr>
            </w:pPr>
          </w:p>
          <w:p w:rsidR="00E36CC2" w:rsidRDefault="00E36CC2" w:rsidP="00E36CC2">
            <w:pPr>
              <w:pStyle w:val="Authors"/>
              <w:keepNext w:val="0"/>
              <w:tabs>
                <w:tab w:val="clear" w:pos="2268"/>
              </w:tabs>
              <w:spacing w:before="0"/>
              <w:rPr>
                <w:rFonts w:cs="Arial"/>
                <w:sz w:val="20"/>
              </w:rPr>
            </w:pPr>
            <w:r w:rsidRPr="00F84E31">
              <w:rPr>
                <w:rFonts w:cs="Arial"/>
                <w:sz w:val="20"/>
                <w:highlight w:val="green"/>
              </w:rPr>
              <w:t xml:space="preserve">The amount of ethanol in </w:t>
            </w:r>
            <w:proofErr w:type="spellStart"/>
            <w:r w:rsidRPr="00F84E31">
              <w:rPr>
                <w:rFonts w:cs="Arial"/>
                <w:sz w:val="20"/>
                <w:highlight w:val="green"/>
              </w:rPr>
              <w:t>Taxotere</w:t>
            </w:r>
            <w:proofErr w:type="spellEnd"/>
            <w:r w:rsidRPr="00F84E31">
              <w:rPr>
                <w:rFonts w:cs="Arial"/>
                <w:sz w:val="20"/>
                <w:highlight w:val="green"/>
              </w:rPr>
              <w:t xml:space="preserve"> may </w:t>
            </w:r>
            <w:proofErr w:type="spellStart"/>
            <w:r w:rsidRPr="00F84E31">
              <w:rPr>
                <w:rFonts w:cs="Arial"/>
                <w:sz w:val="20"/>
                <w:highlight w:val="green"/>
              </w:rPr>
              <w:t>by</w:t>
            </w:r>
            <w:proofErr w:type="spellEnd"/>
            <w:r>
              <w:rPr>
                <w:rFonts w:cs="Arial"/>
                <w:sz w:val="20"/>
              </w:rPr>
              <w:t xml:space="preserve"> h</w:t>
            </w:r>
            <w:r w:rsidRPr="00AA68B1">
              <w:rPr>
                <w:rFonts w:cs="Arial"/>
                <w:sz w:val="20"/>
              </w:rPr>
              <w:t xml:space="preserve">armful for </w:t>
            </w:r>
            <w:r>
              <w:rPr>
                <w:rFonts w:cs="Arial"/>
                <w:sz w:val="20"/>
              </w:rPr>
              <w:t xml:space="preserve">those suffering from alcoholism </w:t>
            </w:r>
            <w:r w:rsidRPr="00C709E4">
              <w:rPr>
                <w:rFonts w:cs="Arial"/>
                <w:sz w:val="20"/>
                <w:highlight w:val="green"/>
              </w:rPr>
              <w:t>and should also</w:t>
            </w:r>
            <w:r>
              <w:rPr>
                <w:rFonts w:cs="Arial"/>
                <w:sz w:val="20"/>
              </w:rPr>
              <w:t xml:space="preserve"> </w:t>
            </w:r>
            <w:r w:rsidRPr="00C709E4">
              <w:rPr>
                <w:rFonts w:cs="Arial"/>
                <w:strike/>
                <w:color w:val="00B050"/>
                <w:sz w:val="20"/>
              </w:rPr>
              <w:t>To</w:t>
            </w:r>
            <w:r w:rsidRPr="00AA68B1">
              <w:rPr>
                <w:rFonts w:cs="Arial"/>
                <w:sz w:val="20"/>
              </w:rPr>
              <w:t xml:space="preserve"> be taken into account in pregnant or breast-feeding women, </w:t>
            </w:r>
            <w:r w:rsidRPr="00C709E4">
              <w:rPr>
                <w:rFonts w:cs="Arial"/>
                <w:sz w:val="20"/>
                <w:highlight w:val="green"/>
              </w:rPr>
              <w:t>in</w:t>
            </w:r>
            <w:r>
              <w:rPr>
                <w:rFonts w:cs="Arial"/>
                <w:sz w:val="20"/>
              </w:rPr>
              <w:t xml:space="preserve"> </w:t>
            </w:r>
            <w:r w:rsidRPr="00AA68B1">
              <w:rPr>
                <w:rFonts w:cs="Arial"/>
                <w:sz w:val="20"/>
              </w:rPr>
              <w:t xml:space="preserve">children and </w:t>
            </w:r>
            <w:r w:rsidRPr="00C709E4">
              <w:rPr>
                <w:rFonts w:cs="Arial"/>
                <w:sz w:val="20"/>
                <w:highlight w:val="green"/>
              </w:rPr>
              <w:t>in</w:t>
            </w:r>
            <w:r>
              <w:rPr>
                <w:rFonts w:cs="Arial"/>
                <w:sz w:val="20"/>
              </w:rPr>
              <w:t xml:space="preserve"> </w:t>
            </w:r>
            <w:r w:rsidRPr="00AA68B1">
              <w:rPr>
                <w:rFonts w:cs="Arial"/>
                <w:sz w:val="20"/>
              </w:rPr>
              <w:t>high-risk groups such as</w:t>
            </w:r>
            <w:r>
              <w:rPr>
                <w:rFonts w:cs="Arial"/>
                <w:sz w:val="20"/>
              </w:rPr>
              <w:t xml:space="preserve"> </w:t>
            </w:r>
            <w:r w:rsidRPr="00AA68B1">
              <w:rPr>
                <w:rFonts w:cs="Arial"/>
                <w:sz w:val="20"/>
              </w:rPr>
              <w:t>patients with liver disease, or epilepsy.</w:t>
            </w:r>
          </w:p>
          <w:p w:rsidR="00E36CC2" w:rsidRPr="00C272CA" w:rsidRDefault="00E36CC2" w:rsidP="00E36CC2">
            <w:pPr>
              <w:pStyle w:val="Authors"/>
              <w:keepNext w:val="0"/>
              <w:tabs>
                <w:tab w:val="clear" w:pos="2268"/>
              </w:tabs>
              <w:spacing w:before="0"/>
              <w:rPr>
                <w:rFonts w:cs="Arial"/>
                <w:sz w:val="20"/>
                <w:highlight w:val="yellow"/>
                <w:lang w:val="en-GB"/>
              </w:rPr>
            </w:pPr>
            <w:r w:rsidRPr="00C272CA">
              <w:rPr>
                <w:rFonts w:cs="Arial"/>
                <w:sz w:val="20"/>
                <w:highlight w:val="yellow"/>
                <w:lang w:val="en-GB"/>
              </w:rPr>
              <w:t>Consideration should be given to possible effects on the central nervous system.</w:t>
            </w:r>
          </w:p>
          <w:p w:rsidR="00E36CC2" w:rsidRPr="00AA68B1" w:rsidRDefault="00E36CC2" w:rsidP="00E36CC2">
            <w:pPr>
              <w:pStyle w:val="Authors"/>
              <w:keepNext w:val="0"/>
              <w:tabs>
                <w:tab w:val="clear" w:pos="2268"/>
              </w:tabs>
              <w:spacing w:before="0"/>
              <w:rPr>
                <w:rFonts w:cs="Arial"/>
                <w:sz w:val="20"/>
              </w:rPr>
            </w:pPr>
            <w:r w:rsidRPr="00AA68B1">
              <w:rPr>
                <w:rFonts w:cs="Arial"/>
                <w:sz w:val="20"/>
              </w:rPr>
              <w:t>The amount of alcohol in this medicinal product may alter the effects of other medicinal products.</w:t>
            </w:r>
          </w:p>
          <w:p w:rsidR="00E36CC2" w:rsidRPr="00AA68B1" w:rsidRDefault="00E36CC2" w:rsidP="00E36CC2">
            <w:pPr>
              <w:pStyle w:val="Authors"/>
              <w:keepNext w:val="0"/>
              <w:tabs>
                <w:tab w:val="clear" w:pos="2268"/>
              </w:tabs>
              <w:spacing w:before="0"/>
              <w:rPr>
                <w:rFonts w:cs="Arial"/>
                <w:sz w:val="20"/>
              </w:rPr>
            </w:pPr>
            <w:r w:rsidRPr="00AA68B1">
              <w:rPr>
                <w:rFonts w:cs="Arial"/>
                <w:sz w:val="20"/>
              </w:rPr>
              <w:t xml:space="preserve">The amount of alcohol in this medicinal product may impair the </w:t>
            </w:r>
            <w:proofErr w:type="spellStart"/>
            <w:proofErr w:type="gramStart"/>
            <w:r w:rsidRPr="00AA68B1">
              <w:rPr>
                <w:rFonts w:cs="Arial"/>
                <w:sz w:val="20"/>
              </w:rPr>
              <w:t>patients</w:t>
            </w:r>
            <w:proofErr w:type="spellEnd"/>
            <w:proofErr w:type="gramEnd"/>
            <w:r w:rsidRPr="00AA68B1">
              <w:rPr>
                <w:rFonts w:cs="Arial"/>
                <w:sz w:val="20"/>
              </w:rPr>
              <w:t xml:space="preserve"> ability to drive or use</w:t>
            </w:r>
            <w:r>
              <w:rPr>
                <w:rFonts w:cs="Arial"/>
                <w:sz w:val="20"/>
              </w:rPr>
              <w:t xml:space="preserve"> </w:t>
            </w:r>
            <w:r w:rsidRPr="00AA68B1">
              <w:rPr>
                <w:rFonts w:cs="Arial"/>
                <w:sz w:val="20"/>
              </w:rPr>
              <w:t>machines.</w:t>
            </w:r>
          </w:p>
          <w:p w:rsidR="00AE4B23" w:rsidRPr="00D20441" w:rsidRDefault="00AE4B23" w:rsidP="00AE4B23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color w:val="FF0000"/>
                <w:sz w:val="16"/>
                <w:szCs w:val="16"/>
                <w:u w:val="single"/>
                <w:rtl/>
                <w:lang w:val="en-GB"/>
              </w:rPr>
            </w:pPr>
          </w:p>
        </w:tc>
      </w:tr>
      <w:tr w:rsidR="007E224A" w:rsidRPr="00D20441" w:rsidTr="00C17F62">
        <w:tc>
          <w:tcPr>
            <w:tcW w:w="2495" w:type="dxa"/>
          </w:tcPr>
          <w:p w:rsidR="005D7DBC" w:rsidRPr="002411FB" w:rsidRDefault="005D7DBC" w:rsidP="007E2094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411F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4.5</w:t>
            </w:r>
          </w:p>
          <w:p w:rsidR="007E224A" w:rsidRPr="002411FB" w:rsidRDefault="007E224A" w:rsidP="005D7DBC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411F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Interaction with Other Medicaments and Other Forms of Interaction</w:t>
            </w:r>
          </w:p>
          <w:p w:rsidR="002411FB" w:rsidRDefault="002411FB" w:rsidP="002411FB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2411FB" w:rsidRDefault="002411FB" w:rsidP="002411FB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2411FB" w:rsidRDefault="002411FB" w:rsidP="002411FB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2411FB" w:rsidRDefault="002411FB" w:rsidP="002411FB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2411FB" w:rsidRDefault="002411FB" w:rsidP="002411FB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2411FB" w:rsidRDefault="002411FB" w:rsidP="002411FB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2411FB" w:rsidRDefault="002411FB" w:rsidP="002411FB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2411FB" w:rsidRDefault="002411FB" w:rsidP="002411FB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2411FB" w:rsidRPr="000F4FA5" w:rsidRDefault="002411FB" w:rsidP="002411FB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7E224A" w:rsidRPr="00A875C0" w:rsidRDefault="007E224A" w:rsidP="007E2094">
            <w:pPr>
              <w:ind w:hanging="1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C70B1" w:rsidRDefault="00AC70B1" w:rsidP="00AC70B1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  <w:r w:rsidRPr="00C17F62"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  <w:t>//////////////////////////////</w:t>
            </w:r>
          </w:p>
          <w:p w:rsidR="00B45159" w:rsidRDefault="00B45159" w:rsidP="00AC70B1">
            <w:pPr>
              <w:tabs>
                <w:tab w:val="left" w:pos="567"/>
                <w:tab w:val="left" w:pos="7513"/>
              </w:tabs>
              <w:suppressAutoHyphens/>
              <w:bidi w:val="0"/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</w:pPr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 xml:space="preserve">In case of combination with CYP3A4 inhibitors, the occurrence of </w:t>
            </w:r>
            <w:proofErr w:type="spellStart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>Taxotere</w:t>
            </w:r>
            <w:proofErr w:type="spellEnd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 xml:space="preserve"> adverse reactions may increase, as a result of reduced metabolism. If the concomitant use of a strong CYP3A4 inhibitor (e.g., ketoconazole, </w:t>
            </w:r>
            <w:proofErr w:type="spellStart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>itraconazole</w:t>
            </w:r>
            <w:proofErr w:type="spellEnd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 xml:space="preserve">, clarithromycin, </w:t>
            </w:r>
            <w:proofErr w:type="spellStart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>indinavir</w:t>
            </w:r>
            <w:proofErr w:type="spellEnd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 xml:space="preserve">, </w:t>
            </w:r>
            <w:proofErr w:type="spellStart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>nefazodone</w:t>
            </w:r>
            <w:proofErr w:type="spellEnd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 xml:space="preserve">, </w:t>
            </w:r>
            <w:proofErr w:type="spellStart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>nelfinavir</w:t>
            </w:r>
            <w:proofErr w:type="spellEnd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 xml:space="preserve">, ritonavir, </w:t>
            </w:r>
            <w:proofErr w:type="spellStart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>saquinavir</w:t>
            </w:r>
            <w:proofErr w:type="spellEnd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 xml:space="preserve">, </w:t>
            </w:r>
            <w:proofErr w:type="spellStart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>telithromycin</w:t>
            </w:r>
            <w:proofErr w:type="spellEnd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 xml:space="preserve"> and </w:t>
            </w:r>
            <w:proofErr w:type="spellStart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>voriconazole</w:t>
            </w:r>
            <w:proofErr w:type="spellEnd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 xml:space="preserve">) cannot be avoided, a close clinical surveillance is warranted and a dose-adjustment of </w:t>
            </w:r>
            <w:proofErr w:type="spellStart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>Taxotere</w:t>
            </w:r>
            <w:proofErr w:type="spellEnd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 xml:space="preserve"> may be suitable during the treatment with the strong CYP3A4 inhibitor (see section 4.4). In a pharmacokinetic study with 7 patients, the co-administration of </w:t>
            </w:r>
            <w:proofErr w:type="spellStart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>docetaxel</w:t>
            </w:r>
            <w:proofErr w:type="spellEnd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 xml:space="preserve"> with the strong CYP3A4 inhibitor ketoconazole leads to a significant decrease in </w:t>
            </w:r>
            <w:proofErr w:type="spellStart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>docetaxel</w:t>
            </w:r>
            <w:proofErr w:type="spellEnd"/>
            <w:r w:rsidRPr="00B45159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 xml:space="preserve"> clearance by 49%.</w:t>
            </w:r>
          </w:p>
          <w:p w:rsidR="007E224A" w:rsidRDefault="00AC70B1" w:rsidP="00AC70B1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  <w:r w:rsidRPr="00C17F62"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  <w:t>//////////////////////////////</w:t>
            </w:r>
          </w:p>
          <w:p w:rsidR="00105597" w:rsidRDefault="00105597" w:rsidP="00105597">
            <w:pPr>
              <w:pStyle w:val="Authors"/>
              <w:keepNext w:val="0"/>
              <w:tabs>
                <w:tab w:val="clear" w:pos="2268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trike/>
                <w:color w:val="FF0000"/>
                <w:sz w:val="20"/>
                <w:lang w:val="en-GB"/>
              </w:rPr>
            </w:pPr>
            <w:r w:rsidRPr="002437E2">
              <w:rPr>
                <w:rFonts w:cs="Arial"/>
                <w:strike/>
                <w:color w:val="FF0000"/>
                <w:sz w:val="20"/>
                <w:lang w:val="en-GB"/>
              </w:rPr>
              <w:t xml:space="preserve">Clinical cases consistent with an increase in </w:t>
            </w:r>
            <w:proofErr w:type="spellStart"/>
            <w:r w:rsidRPr="002437E2">
              <w:rPr>
                <w:rFonts w:cs="Arial"/>
                <w:strike/>
                <w:color w:val="FF0000"/>
                <w:sz w:val="20"/>
                <w:lang w:val="en-GB"/>
              </w:rPr>
              <w:t>docetaxel</w:t>
            </w:r>
            <w:proofErr w:type="spellEnd"/>
            <w:r w:rsidRPr="002437E2">
              <w:rPr>
                <w:rFonts w:cs="Arial"/>
                <w:strike/>
                <w:color w:val="FF0000"/>
                <w:sz w:val="20"/>
                <w:lang w:val="en-GB"/>
              </w:rPr>
              <w:t xml:space="preserve"> toxicity were reported when it was combined with ritonavir. The mechanism behind this interaction is a CYP3A4 inhibition, the main </w:t>
            </w:r>
            <w:proofErr w:type="spellStart"/>
            <w:r w:rsidRPr="002437E2">
              <w:rPr>
                <w:rFonts w:cs="Arial"/>
                <w:strike/>
                <w:color w:val="FF0000"/>
                <w:sz w:val="20"/>
                <w:lang w:val="en-GB"/>
              </w:rPr>
              <w:t>isoenzyme</w:t>
            </w:r>
            <w:proofErr w:type="spellEnd"/>
            <w:r w:rsidRPr="002437E2">
              <w:rPr>
                <w:rFonts w:cs="Arial"/>
                <w:strike/>
                <w:color w:val="FF0000"/>
                <w:sz w:val="20"/>
                <w:lang w:val="en-GB"/>
              </w:rPr>
              <w:t xml:space="preserve"> involved in </w:t>
            </w:r>
            <w:proofErr w:type="spellStart"/>
            <w:r w:rsidRPr="002437E2">
              <w:rPr>
                <w:rFonts w:cs="Arial"/>
                <w:strike/>
                <w:color w:val="FF0000"/>
                <w:sz w:val="20"/>
                <w:lang w:val="en-GB"/>
              </w:rPr>
              <w:t>docetaxel</w:t>
            </w:r>
            <w:proofErr w:type="spellEnd"/>
            <w:r w:rsidRPr="002437E2">
              <w:rPr>
                <w:rFonts w:cs="Arial"/>
                <w:strike/>
                <w:color w:val="FF0000"/>
                <w:sz w:val="20"/>
                <w:lang w:val="en-GB"/>
              </w:rPr>
              <w:t xml:space="preserve"> metabolism by ritonavir. Based on extrapolation from a pharmacokinetic study with ketoconazole in 7 patients, consider a 50% </w:t>
            </w:r>
            <w:proofErr w:type="spellStart"/>
            <w:r w:rsidRPr="002437E2">
              <w:rPr>
                <w:rFonts w:cs="Arial"/>
                <w:strike/>
                <w:color w:val="FF0000"/>
                <w:sz w:val="20"/>
                <w:lang w:val="en-GB"/>
              </w:rPr>
              <w:t>docetaxel</w:t>
            </w:r>
            <w:proofErr w:type="spellEnd"/>
            <w:r w:rsidRPr="002437E2">
              <w:rPr>
                <w:rFonts w:cs="Arial"/>
                <w:strike/>
                <w:color w:val="FF0000"/>
                <w:sz w:val="20"/>
                <w:lang w:val="en-GB"/>
              </w:rPr>
              <w:t xml:space="preserve"> dose reduction if patients require </w:t>
            </w:r>
            <w:r w:rsidRPr="002437E2">
              <w:rPr>
                <w:rFonts w:cs="Arial"/>
                <w:strike/>
                <w:color w:val="FF0000"/>
                <w:sz w:val="20"/>
                <w:lang w:val="en-GB"/>
              </w:rPr>
              <w:lastRenderedPageBreak/>
              <w:t xml:space="preserve">co-administration of a strong CYP3A4 inhibitor such as azole antifungals, ritonavir and some macrolides (clarithromycin, </w:t>
            </w:r>
            <w:proofErr w:type="spellStart"/>
            <w:r w:rsidRPr="002437E2">
              <w:rPr>
                <w:rFonts w:cs="Arial"/>
                <w:strike/>
                <w:color w:val="FF0000"/>
                <w:sz w:val="20"/>
                <w:lang w:val="en-GB"/>
              </w:rPr>
              <w:t>telithromycin</w:t>
            </w:r>
            <w:proofErr w:type="spellEnd"/>
            <w:r w:rsidRPr="002437E2">
              <w:rPr>
                <w:rFonts w:cs="Arial"/>
                <w:strike/>
                <w:color w:val="FF0000"/>
                <w:sz w:val="20"/>
                <w:lang w:val="en-GB"/>
              </w:rPr>
              <w:t>).</w:t>
            </w:r>
          </w:p>
          <w:p w:rsidR="00105597" w:rsidRDefault="00105597" w:rsidP="00105597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</w:pPr>
            <w:r w:rsidRPr="00C17F62">
              <w:rPr>
                <w:rFonts w:ascii="Arial" w:hAnsi="Arial"/>
                <w:b/>
                <w:bCs/>
                <w:sz w:val="16"/>
                <w:szCs w:val="16"/>
                <w:u w:val="single"/>
                <w:lang w:val="en-GB"/>
              </w:rPr>
              <w:t>//////////////////////////////</w:t>
            </w:r>
          </w:p>
          <w:p w:rsidR="00105597" w:rsidRPr="00AC70B1" w:rsidRDefault="00105597" w:rsidP="00105597">
            <w:pPr>
              <w:autoSpaceDE w:val="0"/>
              <w:autoSpaceDN w:val="0"/>
              <w:bidi w:val="0"/>
              <w:adjustRightInd w:val="0"/>
              <w:rPr>
                <w:rFonts w:ascii="Arial" w:hAnsi="Arial"/>
                <w:b/>
                <w:bCs/>
                <w:sz w:val="16"/>
                <w:szCs w:val="16"/>
                <w:u w:val="single"/>
                <w:rtl/>
                <w:lang w:val="en-GB"/>
              </w:rPr>
            </w:pPr>
          </w:p>
        </w:tc>
      </w:tr>
      <w:tr w:rsidR="007E224A" w:rsidRPr="00D20441" w:rsidTr="00C17F62">
        <w:tc>
          <w:tcPr>
            <w:tcW w:w="2495" w:type="dxa"/>
          </w:tcPr>
          <w:p w:rsidR="002411FB" w:rsidRDefault="002411FB" w:rsidP="007E2094">
            <w:pPr>
              <w:bidi w:val="0"/>
              <w:rPr>
                <w:rFonts w:ascii="Arial" w:hAnsi="Arial" w:cs="Arial"/>
                <w:b/>
                <w:sz w:val="20"/>
                <w:szCs w:val="20"/>
              </w:rPr>
            </w:pPr>
            <w:r w:rsidRPr="00AA68B1">
              <w:rPr>
                <w:rFonts w:ascii="Arial" w:hAnsi="Arial" w:cs="Arial"/>
                <w:b/>
                <w:sz w:val="20"/>
                <w:szCs w:val="20"/>
              </w:rPr>
              <w:lastRenderedPageBreak/>
              <w:t>4.7</w:t>
            </w:r>
            <w:r w:rsidRPr="00AA68B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7E224A" w:rsidRPr="000F4FA5" w:rsidRDefault="002411FB" w:rsidP="002411FB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A68B1">
              <w:rPr>
                <w:rFonts w:ascii="Arial" w:hAnsi="Arial" w:cs="Arial"/>
                <w:b/>
                <w:sz w:val="20"/>
                <w:szCs w:val="20"/>
              </w:rPr>
              <w:t>Effects on ability to drive and use machines</w:t>
            </w:r>
          </w:p>
        </w:tc>
        <w:tc>
          <w:tcPr>
            <w:tcW w:w="851" w:type="dxa"/>
          </w:tcPr>
          <w:p w:rsidR="007E224A" w:rsidRPr="00A875C0" w:rsidRDefault="007E224A" w:rsidP="007E2094">
            <w:pPr>
              <w:spacing w:line="240" w:lineRule="exact"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411FB" w:rsidRPr="002411FB" w:rsidRDefault="002411FB" w:rsidP="002411FB">
            <w:pPr>
              <w:tabs>
                <w:tab w:val="left" w:pos="567"/>
                <w:tab w:val="left" w:pos="7655"/>
              </w:tabs>
              <w:suppressAutoHyphens/>
              <w:bidi w:val="0"/>
              <w:rPr>
                <w:rFonts w:ascii="Arial" w:hAnsi="Arial" w:cs="Arial"/>
                <w:strike/>
                <w:color w:val="FF0000"/>
                <w:sz w:val="20"/>
                <w:szCs w:val="20"/>
                <w:lang w:val="en-GB" w:eastAsia="en-US" w:bidi="ar-SA"/>
              </w:rPr>
            </w:pPr>
            <w:r w:rsidRPr="002411FB">
              <w:rPr>
                <w:rFonts w:ascii="Arial" w:hAnsi="Arial" w:cs="Arial"/>
                <w:strike/>
                <w:color w:val="FF0000"/>
                <w:sz w:val="20"/>
                <w:szCs w:val="20"/>
                <w:lang w:val="en-GB" w:eastAsia="en-US" w:bidi="ar-SA"/>
              </w:rPr>
              <w:t>No studies on the effects on the ability to drive and use machines have been performed.</w:t>
            </w:r>
          </w:p>
          <w:p w:rsidR="002411FB" w:rsidRPr="002411FB" w:rsidRDefault="002411FB" w:rsidP="002411FB">
            <w:pPr>
              <w:tabs>
                <w:tab w:val="left" w:pos="567"/>
                <w:tab w:val="left" w:pos="7655"/>
              </w:tabs>
              <w:suppressAutoHyphens/>
              <w:bidi w:val="0"/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</w:pPr>
            <w:r w:rsidRPr="002411FB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 xml:space="preserve">The amount of ethanol in </w:t>
            </w:r>
            <w:proofErr w:type="spellStart"/>
            <w:r w:rsidRPr="002411FB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>Taxotere</w:t>
            </w:r>
            <w:proofErr w:type="spellEnd"/>
            <w:r w:rsidRPr="002411FB">
              <w:rPr>
                <w:rFonts w:ascii="Arial" w:hAnsi="Arial" w:cs="Arial"/>
                <w:sz w:val="20"/>
                <w:szCs w:val="20"/>
                <w:highlight w:val="yellow"/>
                <w:lang w:eastAsia="en-US" w:bidi="ar-SA"/>
              </w:rPr>
              <w:t xml:space="preserve"> may impair the ability to drive or use machines (see section 4.4).</w:t>
            </w:r>
          </w:p>
          <w:p w:rsidR="007E224A" w:rsidRPr="002411FB" w:rsidRDefault="007E224A" w:rsidP="002411FB">
            <w:pPr>
              <w:bidi w:val="0"/>
              <w:spacing w:line="240" w:lineRule="exact"/>
              <w:rPr>
                <w:b/>
                <w:bCs/>
                <w:sz w:val="16"/>
                <w:szCs w:val="16"/>
                <w:rtl/>
                <w:lang w:val="en-GB"/>
              </w:rPr>
            </w:pPr>
          </w:p>
        </w:tc>
      </w:tr>
    </w:tbl>
    <w:p w:rsidR="007E224A" w:rsidRDefault="007E224A" w:rsidP="00B06D17">
      <w:pPr>
        <w:ind w:left="-143" w:right="-142"/>
      </w:pPr>
    </w:p>
    <w:p w:rsidR="009C5FD6" w:rsidRPr="0086675E" w:rsidRDefault="009C5FD6" w:rsidP="008041A5">
      <w:pPr>
        <w:ind w:left="-143" w:right="-142"/>
        <w:rPr>
          <w:rFonts w:hint="cs"/>
          <w:rtl/>
        </w:rPr>
      </w:pPr>
      <w:bookmarkStart w:id="0" w:name="_GoBack"/>
      <w:bookmarkEnd w:id="0"/>
    </w:p>
    <w:sectPr w:rsidR="009C5FD6" w:rsidRPr="0086675E">
      <w:pgSz w:w="11906" w:h="16838"/>
      <w:pgMar w:top="1440" w:right="1800" w:bottom="1440" w:left="1800" w:header="708" w:footer="708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LiberationSerif-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LiberationSerif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74E"/>
    <w:multiLevelType w:val="hybridMultilevel"/>
    <w:tmpl w:val="DE56247C"/>
    <w:lvl w:ilvl="0" w:tplc="74C41D36">
      <w:start w:val="2"/>
      <w:numFmt w:val="bullet"/>
      <w:lvlText w:val=""/>
      <w:lvlJc w:val="left"/>
      <w:pPr>
        <w:tabs>
          <w:tab w:val="num" w:pos="262"/>
        </w:tabs>
        <w:ind w:left="262" w:hanging="405"/>
      </w:pPr>
      <w:rPr>
        <w:rFonts w:ascii="Wingdings" w:hAnsi="Wingdings" w:cs="Miriam" w:hint="default"/>
        <w:sz w:val="40"/>
      </w:rPr>
    </w:lvl>
    <w:lvl w:ilvl="1" w:tplc="040D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1">
    <w:nsid w:val="0A5B63DD"/>
    <w:multiLevelType w:val="multilevel"/>
    <w:tmpl w:val="E8FEED7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F1144A"/>
    <w:multiLevelType w:val="hybridMultilevel"/>
    <w:tmpl w:val="3F8427A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654C14"/>
    <w:multiLevelType w:val="hybridMultilevel"/>
    <w:tmpl w:val="2506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845C6"/>
    <w:multiLevelType w:val="hybridMultilevel"/>
    <w:tmpl w:val="F6E09F92"/>
    <w:lvl w:ilvl="0" w:tplc="BBFE8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05E6E"/>
    <w:multiLevelType w:val="hybridMultilevel"/>
    <w:tmpl w:val="FC0E62AC"/>
    <w:lvl w:ilvl="0" w:tplc="74C41D36">
      <w:start w:val="2"/>
      <w:numFmt w:val="bullet"/>
      <w:lvlText w:val=""/>
      <w:lvlJc w:val="left"/>
      <w:pPr>
        <w:ind w:left="720" w:hanging="360"/>
      </w:pPr>
      <w:rPr>
        <w:rFonts w:ascii="Wingdings" w:hAnsi="Wingdings" w:cs="Miriam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C2424"/>
    <w:multiLevelType w:val="hybridMultilevel"/>
    <w:tmpl w:val="39CC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873ED"/>
    <w:multiLevelType w:val="hybridMultilevel"/>
    <w:tmpl w:val="A074184C"/>
    <w:lvl w:ilvl="0" w:tplc="7222F78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1A68E8"/>
    <w:multiLevelType w:val="hybridMultilevel"/>
    <w:tmpl w:val="4FF0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166BC"/>
    <w:multiLevelType w:val="hybridMultilevel"/>
    <w:tmpl w:val="DE56247C"/>
    <w:lvl w:ilvl="0" w:tplc="E25A1F48">
      <w:start w:val="2"/>
      <w:numFmt w:val="bullet"/>
      <w:lvlText w:val=""/>
      <w:lvlJc w:val="left"/>
      <w:pPr>
        <w:tabs>
          <w:tab w:val="num" w:pos="262"/>
        </w:tabs>
        <w:ind w:left="262" w:hanging="405"/>
      </w:pPr>
      <w:rPr>
        <w:rFonts w:ascii="Wingdings" w:hAnsi="Wingdings" w:cs="Miriam" w:hint="default"/>
        <w:sz w:val="36"/>
      </w:rPr>
    </w:lvl>
    <w:lvl w:ilvl="1" w:tplc="040D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10">
    <w:nsid w:val="3C11220B"/>
    <w:multiLevelType w:val="hybridMultilevel"/>
    <w:tmpl w:val="FE84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60D37"/>
    <w:multiLevelType w:val="hybridMultilevel"/>
    <w:tmpl w:val="4C6E8F4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DB7AD7"/>
    <w:multiLevelType w:val="hybridMultilevel"/>
    <w:tmpl w:val="0D0A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65CC1"/>
    <w:multiLevelType w:val="hybridMultilevel"/>
    <w:tmpl w:val="2CB6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6B9AF"/>
    <w:multiLevelType w:val="hybridMultilevel"/>
    <w:tmpl w:val="965A745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C7710BF"/>
    <w:multiLevelType w:val="hybridMultilevel"/>
    <w:tmpl w:val="35A8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056F2"/>
    <w:multiLevelType w:val="hybridMultilevel"/>
    <w:tmpl w:val="3E7A5B5E"/>
    <w:lvl w:ilvl="0" w:tplc="B198C2A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6322B"/>
    <w:multiLevelType w:val="hybridMultilevel"/>
    <w:tmpl w:val="EABCAE36"/>
    <w:lvl w:ilvl="0" w:tplc="80ACC2B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211E19"/>
    <w:multiLevelType w:val="hybridMultilevel"/>
    <w:tmpl w:val="B0ECBD18"/>
    <w:lvl w:ilvl="0" w:tplc="BBFE8D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B419AE"/>
    <w:multiLevelType w:val="hybridMultilevel"/>
    <w:tmpl w:val="9CFABBA0"/>
    <w:lvl w:ilvl="0" w:tplc="74C41D36">
      <w:start w:val="2"/>
      <w:numFmt w:val="bullet"/>
      <w:lvlText w:val=""/>
      <w:lvlJc w:val="left"/>
      <w:pPr>
        <w:ind w:left="360" w:hanging="360"/>
      </w:pPr>
      <w:rPr>
        <w:rFonts w:ascii="Wingdings" w:hAnsi="Wingdings" w:cs="Miriam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540F4E"/>
    <w:multiLevelType w:val="hybridMultilevel"/>
    <w:tmpl w:val="B8B463D2"/>
    <w:lvl w:ilvl="0" w:tplc="D07E0DF4">
      <w:start w:val="2"/>
      <w:numFmt w:val="bullet"/>
      <w:lvlText w:val="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Miriam" w:hint="default"/>
        <w:sz w:val="40"/>
        <w:szCs w:val="40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5E100FA"/>
    <w:multiLevelType w:val="hybridMultilevel"/>
    <w:tmpl w:val="BAD05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C272D"/>
    <w:multiLevelType w:val="hybridMultilevel"/>
    <w:tmpl w:val="5CEC4D1E"/>
    <w:lvl w:ilvl="0" w:tplc="BBFE8D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83599F"/>
    <w:multiLevelType w:val="hybridMultilevel"/>
    <w:tmpl w:val="47DA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7"/>
  </w:num>
  <w:num w:numId="5">
    <w:abstractNumId w:val="19"/>
  </w:num>
  <w:num w:numId="6">
    <w:abstractNumId w:val="5"/>
  </w:num>
  <w:num w:numId="7">
    <w:abstractNumId w:val="10"/>
  </w:num>
  <w:num w:numId="8">
    <w:abstractNumId w:val="21"/>
  </w:num>
  <w:num w:numId="9">
    <w:abstractNumId w:val="11"/>
  </w:num>
  <w:num w:numId="10">
    <w:abstractNumId w:val="7"/>
  </w:num>
  <w:num w:numId="11">
    <w:abstractNumId w:val="2"/>
  </w:num>
  <w:num w:numId="12">
    <w:abstractNumId w:val="23"/>
  </w:num>
  <w:num w:numId="13">
    <w:abstractNumId w:val="16"/>
  </w:num>
  <w:num w:numId="14">
    <w:abstractNumId w:val="12"/>
  </w:num>
  <w:num w:numId="15">
    <w:abstractNumId w:val="14"/>
  </w:num>
  <w:num w:numId="16">
    <w:abstractNumId w:val="1"/>
  </w:num>
  <w:num w:numId="17">
    <w:abstractNumId w:val="6"/>
  </w:num>
  <w:num w:numId="18">
    <w:abstractNumId w:val="8"/>
  </w:num>
  <w:num w:numId="19">
    <w:abstractNumId w:val="15"/>
  </w:num>
  <w:num w:numId="20">
    <w:abstractNumId w:val="3"/>
  </w:num>
  <w:num w:numId="21">
    <w:abstractNumId w:val="18"/>
  </w:num>
  <w:num w:numId="22">
    <w:abstractNumId w:val="22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C1"/>
    <w:rsid w:val="000076ED"/>
    <w:rsid w:val="00010EA4"/>
    <w:rsid w:val="000357C6"/>
    <w:rsid w:val="00035A2A"/>
    <w:rsid w:val="00053308"/>
    <w:rsid w:val="00067D95"/>
    <w:rsid w:val="00076404"/>
    <w:rsid w:val="00086105"/>
    <w:rsid w:val="000923C4"/>
    <w:rsid w:val="000B46A8"/>
    <w:rsid w:val="000C3D4F"/>
    <w:rsid w:val="000D3531"/>
    <w:rsid w:val="000F32DF"/>
    <w:rsid w:val="00105597"/>
    <w:rsid w:val="00107C95"/>
    <w:rsid w:val="00113533"/>
    <w:rsid w:val="00120B7E"/>
    <w:rsid w:val="00121A4F"/>
    <w:rsid w:val="001332AD"/>
    <w:rsid w:val="00135040"/>
    <w:rsid w:val="00136F84"/>
    <w:rsid w:val="0014475F"/>
    <w:rsid w:val="00155A90"/>
    <w:rsid w:val="001651C6"/>
    <w:rsid w:val="001664A4"/>
    <w:rsid w:val="00170AD1"/>
    <w:rsid w:val="0017132D"/>
    <w:rsid w:val="001957C5"/>
    <w:rsid w:val="001B0416"/>
    <w:rsid w:val="001D61DB"/>
    <w:rsid w:val="001E34AB"/>
    <w:rsid w:val="001F2D42"/>
    <w:rsid w:val="001F73D5"/>
    <w:rsid w:val="002031B6"/>
    <w:rsid w:val="00213559"/>
    <w:rsid w:val="00222CC3"/>
    <w:rsid w:val="00225409"/>
    <w:rsid w:val="002411FB"/>
    <w:rsid w:val="00243A75"/>
    <w:rsid w:val="00254713"/>
    <w:rsid w:val="00265102"/>
    <w:rsid w:val="00267392"/>
    <w:rsid w:val="00271688"/>
    <w:rsid w:val="00271CD9"/>
    <w:rsid w:val="002B1CB4"/>
    <w:rsid w:val="002B2685"/>
    <w:rsid w:val="002C2628"/>
    <w:rsid w:val="002C4522"/>
    <w:rsid w:val="0030462B"/>
    <w:rsid w:val="00306DE8"/>
    <w:rsid w:val="00325AAF"/>
    <w:rsid w:val="0033527A"/>
    <w:rsid w:val="00346661"/>
    <w:rsid w:val="003650DC"/>
    <w:rsid w:val="00372001"/>
    <w:rsid w:val="00374C01"/>
    <w:rsid w:val="00376B73"/>
    <w:rsid w:val="00386020"/>
    <w:rsid w:val="003C4517"/>
    <w:rsid w:val="003D2951"/>
    <w:rsid w:val="003E4D8B"/>
    <w:rsid w:val="003F2C35"/>
    <w:rsid w:val="003F713F"/>
    <w:rsid w:val="003F724B"/>
    <w:rsid w:val="00421A70"/>
    <w:rsid w:val="0042765B"/>
    <w:rsid w:val="00457B46"/>
    <w:rsid w:val="00485B25"/>
    <w:rsid w:val="004963A2"/>
    <w:rsid w:val="004A476F"/>
    <w:rsid w:val="004B15CC"/>
    <w:rsid w:val="004D75A7"/>
    <w:rsid w:val="004E384E"/>
    <w:rsid w:val="005220BB"/>
    <w:rsid w:val="005460F2"/>
    <w:rsid w:val="0056507F"/>
    <w:rsid w:val="00566738"/>
    <w:rsid w:val="00580EB7"/>
    <w:rsid w:val="00593543"/>
    <w:rsid w:val="005D7DBC"/>
    <w:rsid w:val="005E38FB"/>
    <w:rsid w:val="005E54AB"/>
    <w:rsid w:val="00601FEF"/>
    <w:rsid w:val="006046BA"/>
    <w:rsid w:val="00605122"/>
    <w:rsid w:val="006200EF"/>
    <w:rsid w:val="00621A66"/>
    <w:rsid w:val="00624D0C"/>
    <w:rsid w:val="006252B7"/>
    <w:rsid w:val="006268B7"/>
    <w:rsid w:val="006446C1"/>
    <w:rsid w:val="00644710"/>
    <w:rsid w:val="00647FF4"/>
    <w:rsid w:val="00667EA6"/>
    <w:rsid w:val="0067574A"/>
    <w:rsid w:val="00685619"/>
    <w:rsid w:val="006A25C3"/>
    <w:rsid w:val="006A3BCA"/>
    <w:rsid w:val="006A5E7B"/>
    <w:rsid w:val="006B575D"/>
    <w:rsid w:val="006C197A"/>
    <w:rsid w:val="006D32ED"/>
    <w:rsid w:val="006E0DBE"/>
    <w:rsid w:val="006F4F0F"/>
    <w:rsid w:val="00712908"/>
    <w:rsid w:val="00723C95"/>
    <w:rsid w:val="00724F2F"/>
    <w:rsid w:val="007326F0"/>
    <w:rsid w:val="007376F2"/>
    <w:rsid w:val="0076749B"/>
    <w:rsid w:val="00771C77"/>
    <w:rsid w:val="007A4917"/>
    <w:rsid w:val="007B2533"/>
    <w:rsid w:val="007C50FB"/>
    <w:rsid w:val="007D2612"/>
    <w:rsid w:val="007E224A"/>
    <w:rsid w:val="007F0126"/>
    <w:rsid w:val="00802390"/>
    <w:rsid w:val="008041A5"/>
    <w:rsid w:val="0080723C"/>
    <w:rsid w:val="008249C6"/>
    <w:rsid w:val="00827D52"/>
    <w:rsid w:val="0083043A"/>
    <w:rsid w:val="0083078C"/>
    <w:rsid w:val="00840BEE"/>
    <w:rsid w:val="00846A6F"/>
    <w:rsid w:val="00854F3B"/>
    <w:rsid w:val="008647BB"/>
    <w:rsid w:val="0086675E"/>
    <w:rsid w:val="008801B0"/>
    <w:rsid w:val="00881634"/>
    <w:rsid w:val="00886057"/>
    <w:rsid w:val="008919AA"/>
    <w:rsid w:val="0089533E"/>
    <w:rsid w:val="008A131F"/>
    <w:rsid w:val="008B5932"/>
    <w:rsid w:val="008C1D56"/>
    <w:rsid w:val="008C1E5F"/>
    <w:rsid w:val="008C6BC8"/>
    <w:rsid w:val="008D426D"/>
    <w:rsid w:val="00945EC6"/>
    <w:rsid w:val="00964EF8"/>
    <w:rsid w:val="00984492"/>
    <w:rsid w:val="00991851"/>
    <w:rsid w:val="009B2978"/>
    <w:rsid w:val="009C1685"/>
    <w:rsid w:val="009C5FD6"/>
    <w:rsid w:val="009D03F5"/>
    <w:rsid w:val="009D14A4"/>
    <w:rsid w:val="009E46A6"/>
    <w:rsid w:val="009F098A"/>
    <w:rsid w:val="009F1E5A"/>
    <w:rsid w:val="00A13D70"/>
    <w:rsid w:val="00A22957"/>
    <w:rsid w:val="00A25BE3"/>
    <w:rsid w:val="00A52BCF"/>
    <w:rsid w:val="00A54812"/>
    <w:rsid w:val="00AC203D"/>
    <w:rsid w:val="00AC70B1"/>
    <w:rsid w:val="00AD3B75"/>
    <w:rsid w:val="00AE39C3"/>
    <w:rsid w:val="00AE4B23"/>
    <w:rsid w:val="00AF0775"/>
    <w:rsid w:val="00B059FD"/>
    <w:rsid w:val="00B06D17"/>
    <w:rsid w:val="00B24B55"/>
    <w:rsid w:val="00B45159"/>
    <w:rsid w:val="00B56EB6"/>
    <w:rsid w:val="00BA1738"/>
    <w:rsid w:val="00BB7853"/>
    <w:rsid w:val="00BC1B22"/>
    <w:rsid w:val="00BF31DB"/>
    <w:rsid w:val="00BF75D1"/>
    <w:rsid w:val="00BF7FEE"/>
    <w:rsid w:val="00C01F2F"/>
    <w:rsid w:val="00C17D76"/>
    <w:rsid w:val="00C17F62"/>
    <w:rsid w:val="00C25184"/>
    <w:rsid w:val="00C277B5"/>
    <w:rsid w:val="00C418F5"/>
    <w:rsid w:val="00C45656"/>
    <w:rsid w:val="00C55F59"/>
    <w:rsid w:val="00C70D7D"/>
    <w:rsid w:val="00C7553F"/>
    <w:rsid w:val="00C76442"/>
    <w:rsid w:val="00C9482E"/>
    <w:rsid w:val="00C96403"/>
    <w:rsid w:val="00CC2166"/>
    <w:rsid w:val="00CD787C"/>
    <w:rsid w:val="00CE24E9"/>
    <w:rsid w:val="00D26DDC"/>
    <w:rsid w:val="00D47DAE"/>
    <w:rsid w:val="00D63D9B"/>
    <w:rsid w:val="00D65605"/>
    <w:rsid w:val="00D73F75"/>
    <w:rsid w:val="00D844E5"/>
    <w:rsid w:val="00DA350E"/>
    <w:rsid w:val="00DC7A09"/>
    <w:rsid w:val="00DD328A"/>
    <w:rsid w:val="00DF6CDE"/>
    <w:rsid w:val="00E013A4"/>
    <w:rsid w:val="00E05B13"/>
    <w:rsid w:val="00E05B6C"/>
    <w:rsid w:val="00E26424"/>
    <w:rsid w:val="00E3625E"/>
    <w:rsid w:val="00E36CC2"/>
    <w:rsid w:val="00E42D97"/>
    <w:rsid w:val="00E46877"/>
    <w:rsid w:val="00E65908"/>
    <w:rsid w:val="00E751BD"/>
    <w:rsid w:val="00E8008D"/>
    <w:rsid w:val="00EB25DD"/>
    <w:rsid w:val="00EB3AAF"/>
    <w:rsid w:val="00EC2062"/>
    <w:rsid w:val="00F424C1"/>
    <w:rsid w:val="00F470C1"/>
    <w:rsid w:val="00F63FDB"/>
    <w:rsid w:val="00F738EC"/>
    <w:rsid w:val="00FD2FDA"/>
    <w:rsid w:val="00FD4195"/>
    <w:rsid w:val="00FD7D18"/>
    <w:rsid w:val="00FE4120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FEF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3">
    <w:name w:val="heading 3"/>
    <w:basedOn w:val="a"/>
    <w:next w:val="a"/>
    <w:qFormat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atz06">
    <w:name w:val="_Absatz /06"/>
    <w:basedOn w:val="a"/>
    <w:rsid w:val="006252B7"/>
    <w:pPr>
      <w:autoSpaceDE w:val="0"/>
      <w:autoSpaceDN w:val="0"/>
      <w:bidi w:val="0"/>
      <w:spacing w:after="120" w:line="260" w:lineRule="atLeast"/>
      <w:ind w:left="567"/>
      <w:jc w:val="both"/>
    </w:pPr>
    <w:rPr>
      <w:rFonts w:ascii="Arial" w:eastAsia="MS Mincho" w:hAnsi="Arial" w:cs="Arial"/>
      <w:sz w:val="20"/>
      <w:szCs w:val="20"/>
      <w:lang w:val="de-DE" w:eastAsia="de-DE" w:bidi="ar-SA"/>
    </w:rPr>
  </w:style>
  <w:style w:type="character" w:customStyle="1" w:styleId="10">
    <w:name w:val="כותרת 1 תו"/>
    <w:link w:val="1"/>
    <w:rsid w:val="007326F0"/>
    <w:rPr>
      <w:rFonts w:cs="Courier New"/>
      <w:b/>
      <w:bCs/>
      <w:szCs w:val="36"/>
      <w:u w:val="single"/>
    </w:rPr>
  </w:style>
  <w:style w:type="paragraph" w:styleId="a3">
    <w:name w:val="Body Text"/>
    <w:basedOn w:val="a"/>
    <w:link w:val="a4"/>
    <w:rsid w:val="007326F0"/>
    <w:pPr>
      <w:autoSpaceDE w:val="0"/>
      <w:autoSpaceDN w:val="0"/>
      <w:bidi w:val="0"/>
      <w:adjustRightInd w:val="0"/>
    </w:pPr>
    <w:rPr>
      <w:rFonts w:ascii="Verdana" w:hAnsi="Verdana" w:cs="Times New Roman"/>
      <w:b/>
      <w:bCs/>
      <w:sz w:val="20"/>
      <w:szCs w:val="20"/>
    </w:rPr>
  </w:style>
  <w:style w:type="character" w:customStyle="1" w:styleId="a4">
    <w:name w:val="גוף טקסט תו"/>
    <w:link w:val="a3"/>
    <w:rsid w:val="007326F0"/>
    <w:rPr>
      <w:rFonts w:ascii="Verdana" w:hAnsi="Verdana"/>
      <w:b/>
      <w:bCs/>
      <w:lang w:eastAsia="he-IL"/>
    </w:rPr>
  </w:style>
  <w:style w:type="paragraph" w:customStyle="1" w:styleId="dAbsnormal">
    <w:name w:val="d Abs. normal"/>
    <w:basedOn w:val="a"/>
    <w:rsid w:val="007326F0"/>
    <w:pPr>
      <w:bidi w:val="0"/>
      <w:spacing w:line="260" w:lineRule="exact"/>
      <w:ind w:left="567"/>
      <w:jc w:val="both"/>
    </w:pPr>
    <w:rPr>
      <w:rFonts w:ascii="Arial" w:hAnsi="Arial" w:cs="Arial"/>
      <w:sz w:val="20"/>
      <w:szCs w:val="20"/>
      <w:lang w:val="de-DE" w:eastAsia="en-US" w:bidi="ar-SA"/>
    </w:rPr>
  </w:style>
  <w:style w:type="paragraph" w:styleId="a5">
    <w:name w:val="header"/>
    <w:basedOn w:val="a"/>
    <w:link w:val="a6"/>
    <w:rsid w:val="004A476F"/>
    <w:pPr>
      <w:tabs>
        <w:tab w:val="center" w:pos="4153"/>
        <w:tab w:val="right" w:pos="8306"/>
      </w:tabs>
      <w:bidi w:val="0"/>
      <w:jc w:val="both"/>
    </w:pPr>
    <w:rPr>
      <w:rFonts w:cs="Times New Roman"/>
      <w:szCs w:val="20"/>
      <w:lang w:val="en-GB" w:eastAsia="en-US" w:bidi="ar-SA"/>
    </w:rPr>
  </w:style>
  <w:style w:type="character" w:customStyle="1" w:styleId="a6">
    <w:name w:val="כותרת עליונה תו"/>
    <w:link w:val="a5"/>
    <w:rsid w:val="004A476F"/>
    <w:rPr>
      <w:sz w:val="24"/>
      <w:lang w:val="en-GB" w:bidi="ar-SA"/>
    </w:rPr>
  </w:style>
  <w:style w:type="paragraph" w:styleId="a7">
    <w:name w:val="List Paragraph"/>
    <w:basedOn w:val="a"/>
    <w:uiPriority w:val="34"/>
    <w:qFormat/>
    <w:rsid w:val="008919AA"/>
    <w:pPr>
      <w:ind w:left="720"/>
    </w:pPr>
    <w:rPr>
      <w:rFonts w:eastAsia="MS Mincho" w:cs="Miriam"/>
      <w:sz w:val="22"/>
      <w:szCs w:val="22"/>
    </w:rPr>
  </w:style>
  <w:style w:type="paragraph" w:styleId="a8">
    <w:name w:val="Body Text Indent"/>
    <w:basedOn w:val="a"/>
    <w:link w:val="a9"/>
    <w:rsid w:val="001332AD"/>
    <w:pPr>
      <w:spacing w:after="120"/>
      <w:ind w:left="283"/>
    </w:pPr>
  </w:style>
  <w:style w:type="character" w:customStyle="1" w:styleId="a9">
    <w:name w:val="כניסה בגוף טקסט תו"/>
    <w:link w:val="a8"/>
    <w:rsid w:val="001332AD"/>
    <w:rPr>
      <w:rFonts w:cs="David"/>
      <w:sz w:val="24"/>
      <w:szCs w:val="24"/>
      <w:lang w:eastAsia="he-IL"/>
    </w:rPr>
  </w:style>
  <w:style w:type="paragraph" w:styleId="aa">
    <w:name w:val="Balloon Text"/>
    <w:basedOn w:val="a"/>
    <w:link w:val="ab"/>
    <w:rsid w:val="00C96403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C96403"/>
    <w:rPr>
      <w:rFonts w:ascii="Tahoma" w:hAnsi="Tahoma" w:cs="Tahoma"/>
      <w:sz w:val="16"/>
      <w:szCs w:val="16"/>
      <w:lang w:eastAsia="he-IL"/>
    </w:rPr>
  </w:style>
  <w:style w:type="paragraph" w:customStyle="1" w:styleId="Normal1">
    <w:name w:val="Normal1"/>
    <w:basedOn w:val="a"/>
    <w:rsid w:val="007E224A"/>
    <w:pPr>
      <w:jc w:val="both"/>
    </w:pPr>
    <w:rPr>
      <w:rFonts w:cs="Miriam"/>
      <w:sz w:val="26"/>
      <w:szCs w:val="26"/>
    </w:rPr>
  </w:style>
  <w:style w:type="paragraph" w:customStyle="1" w:styleId="Heading41">
    <w:name w:val="Heading 41"/>
    <w:basedOn w:val="a"/>
    <w:next w:val="a"/>
    <w:rsid w:val="00271688"/>
    <w:pPr>
      <w:keepNext/>
      <w:widowControl w:val="0"/>
      <w:overflowPunct w:val="0"/>
      <w:autoSpaceDE w:val="0"/>
      <w:autoSpaceDN w:val="0"/>
      <w:bidi w:val="0"/>
      <w:adjustRightInd w:val="0"/>
      <w:textAlignment w:val="baseline"/>
    </w:pPr>
    <w:rPr>
      <w:rFonts w:cs="Times New Roman"/>
      <w:b/>
      <w:sz w:val="22"/>
      <w:szCs w:val="20"/>
      <w:lang w:val="en-GB" w:eastAsia="en-US" w:bidi="ar-SA"/>
    </w:rPr>
  </w:style>
  <w:style w:type="paragraph" w:customStyle="1" w:styleId="Default">
    <w:name w:val="Default"/>
    <w:rsid w:val="00580E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uthors">
    <w:name w:val="Authors"/>
    <w:basedOn w:val="a"/>
    <w:rsid w:val="00E36CC2"/>
    <w:pPr>
      <w:keepNext/>
      <w:tabs>
        <w:tab w:val="left" w:pos="2268"/>
      </w:tabs>
      <w:bidi w:val="0"/>
      <w:spacing w:before="240"/>
    </w:pPr>
    <w:rPr>
      <w:rFonts w:ascii="Arial" w:hAnsi="Arial" w:cs="Times New Roman"/>
      <w:sz w:val="22"/>
      <w:szCs w:val="20"/>
      <w:lang w:eastAsia="en-US" w:bidi="ar-SA"/>
    </w:rPr>
  </w:style>
  <w:style w:type="character" w:customStyle="1" w:styleId="BoldCharacter">
    <w:name w:val="Bold Character"/>
    <w:rsid w:val="00E36CC2"/>
    <w:rPr>
      <w:b/>
    </w:rPr>
  </w:style>
  <w:style w:type="paragraph" w:customStyle="1" w:styleId="TblTextLeft">
    <w:name w:val="Tbl Text Left"/>
    <w:rsid w:val="00E36CC2"/>
    <w:pPr>
      <w:spacing w:before="60" w:after="60"/>
    </w:pPr>
    <w:rPr>
      <w:rFonts w:ascii="Arial Narrow" w:hAnsi="Arial Narrow"/>
      <w:lang w:bidi="ar-SA"/>
    </w:rPr>
  </w:style>
  <w:style w:type="paragraph" w:customStyle="1" w:styleId="Normal11pt">
    <w:name w:val="Normal + 11pt"/>
    <w:basedOn w:val="a"/>
    <w:rsid w:val="00E36CC2"/>
    <w:pPr>
      <w:bidi w:val="0"/>
    </w:pPr>
    <w:rPr>
      <w:rFonts w:cs="Times New Roman"/>
      <w:sz w:val="22"/>
      <w:szCs w:val="22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FEF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3">
    <w:name w:val="heading 3"/>
    <w:basedOn w:val="a"/>
    <w:next w:val="a"/>
    <w:qFormat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atz06">
    <w:name w:val="_Absatz /06"/>
    <w:basedOn w:val="a"/>
    <w:rsid w:val="006252B7"/>
    <w:pPr>
      <w:autoSpaceDE w:val="0"/>
      <w:autoSpaceDN w:val="0"/>
      <w:bidi w:val="0"/>
      <w:spacing w:after="120" w:line="260" w:lineRule="atLeast"/>
      <w:ind w:left="567"/>
      <w:jc w:val="both"/>
    </w:pPr>
    <w:rPr>
      <w:rFonts w:ascii="Arial" w:eastAsia="MS Mincho" w:hAnsi="Arial" w:cs="Arial"/>
      <w:sz w:val="20"/>
      <w:szCs w:val="20"/>
      <w:lang w:val="de-DE" w:eastAsia="de-DE" w:bidi="ar-SA"/>
    </w:rPr>
  </w:style>
  <w:style w:type="character" w:customStyle="1" w:styleId="10">
    <w:name w:val="כותרת 1 תו"/>
    <w:link w:val="1"/>
    <w:rsid w:val="007326F0"/>
    <w:rPr>
      <w:rFonts w:cs="Courier New"/>
      <w:b/>
      <w:bCs/>
      <w:szCs w:val="36"/>
      <w:u w:val="single"/>
    </w:rPr>
  </w:style>
  <w:style w:type="paragraph" w:styleId="a3">
    <w:name w:val="Body Text"/>
    <w:basedOn w:val="a"/>
    <w:link w:val="a4"/>
    <w:rsid w:val="007326F0"/>
    <w:pPr>
      <w:autoSpaceDE w:val="0"/>
      <w:autoSpaceDN w:val="0"/>
      <w:bidi w:val="0"/>
      <w:adjustRightInd w:val="0"/>
    </w:pPr>
    <w:rPr>
      <w:rFonts w:ascii="Verdana" w:hAnsi="Verdana" w:cs="Times New Roman"/>
      <w:b/>
      <w:bCs/>
      <w:sz w:val="20"/>
      <w:szCs w:val="20"/>
    </w:rPr>
  </w:style>
  <w:style w:type="character" w:customStyle="1" w:styleId="a4">
    <w:name w:val="גוף טקסט תו"/>
    <w:link w:val="a3"/>
    <w:rsid w:val="007326F0"/>
    <w:rPr>
      <w:rFonts w:ascii="Verdana" w:hAnsi="Verdana"/>
      <w:b/>
      <w:bCs/>
      <w:lang w:eastAsia="he-IL"/>
    </w:rPr>
  </w:style>
  <w:style w:type="paragraph" w:customStyle="1" w:styleId="dAbsnormal">
    <w:name w:val="d Abs. normal"/>
    <w:basedOn w:val="a"/>
    <w:rsid w:val="007326F0"/>
    <w:pPr>
      <w:bidi w:val="0"/>
      <w:spacing w:line="260" w:lineRule="exact"/>
      <w:ind w:left="567"/>
      <w:jc w:val="both"/>
    </w:pPr>
    <w:rPr>
      <w:rFonts w:ascii="Arial" w:hAnsi="Arial" w:cs="Arial"/>
      <w:sz w:val="20"/>
      <w:szCs w:val="20"/>
      <w:lang w:val="de-DE" w:eastAsia="en-US" w:bidi="ar-SA"/>
    </w:rPr>
  </w:style>
  <w:style w:type="paragraph" w:styleId="a5">
    <w:name w:val="header"/>
    <w:basedOn w:val="a"/>
    <w:link w:val="a6"/>
    <w:rsid w:val="004A476F"/>
    <w:pPr>
      <w:tabs>
        <w:tab w:val="center" w:pos="4153"/>
        <w:tab w:val="right" w:pos="8306"/>
      </w:tabs>
      <w:bidi w:val="0"/>
      <w:jc w:val="both"/>
    </w:pPr>
    <w:rPr>
      <w:rFonts w:cs="Times New Roman"/>
      <w:szCs w:val="20"/>
      <w:lang w:val="en-GB" w:eastAsia="en-US" w:bidi="ar-SA"/>
    </w:rPr>
  </w:style>
  <w:style w:type="character" w:customStyle="1" w:styleId="a6">
    <w:name w:val="כותרת עליונה תו"/>
    <w:link w:val="a5"/>
    <w:rsid w:val="004A476F"/>
    <w:rPr>
      <w:sz w:val="24"/>
      <w:lang w:val="en-GB" w:bidi="ar-SA"/>
    </w:rPr>
  </w:style>
  <w:style w:type="paragraph" w:styleId="a7">
    <w:name w:val="List Paragraph"/>
    <w:basedOn w:val="a"/>
    <w:uiPriority w:val="34"/>
    <w:qFormat/>
    <w:rsid w:val="008919AA"/>
    <w:pPr>
      <w:ind w:left="720"/>
    </w:pPr>
    <w:rPr>
      <w:rFonts w:eastAsia="MS Mincho" w:cs="Miriam"/>
      <w:sz w:val="22"/>
      <w:szCs w:val="22"/>
    </w:rPr>
  </w:style>
  <w:style w:type="paragraph" w:styleId="a8">
    <w:name w:val="Body Text Indent"/>
    <w:basedOn w:val="a"/>
    <w:link w:val="a9"/>
    <w:rsid w:val="001332AD"/>
    <w:pPr>
      <w:spacing w:after="120"/>
      <w:ind w:left="283"/>
    </w:pPr>
  </w:style>
  <w:style w:type="character" w:customStyle="1" w:styleId="a9">
    <w:name w:val="כניסה בגוף טקסט תו"/>
    <w:link w:val="a8"/>
    <w:rsid w:val="001332AD"/>
    <w:rPr>
      <w:rFonts w:cs="David"/>
      <w:sz w:val="24"/>
      <w:szCs w:val="24"/>
      <w:lang w:eastAsia="he-IL"/>
    </w:rPr>
  </w:style>
  <w:style w:type="paragraph" w:styleId="aa">
    <w:name w:val="Balloon Text"/>
    <w:basedOn w:val="a"/>
    <w:link w:val="ab"/>
    <w:rsid w:val="00C96403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C96403"/>
    <w:rPr>
      <w:rFonts w:ascii="Tahoma" w:hAnsi="Tahoma" w:cs="Tahoma"/>
      <w:sz w:val="16"/>
      <w:szCs w:val="16"/>
      <w:lang w:eastAsia="he-IL"/>
    </w:rPr>
  </w:style>
  <w:style w:type="paragraph" w:customStyle="1" w:styleId="Normal1">
    <w:name w:val="Normal1"/>
    <w:basedOn w:val="a"/>
    <w:rsid w:val="007E224A"/>
    <w:pPr>
      <w:jc w:val="both"/>
    </w:pPr>
    <w:rPr>
      <w:rFonts w:cs="Miriam"/>
      <w:sz w:val="26"/>
      <w:szCs w:val="26"/>
    </w:rPr>
  </w:style>
  <w:style w:type="paragraph" w:customStyle="1" w:styleId="Heading41">
    <w:name w:val="Heading 41"/>
    <w:basedOn w:val="a"/>
    <w:next w:val="a"/>
    <w:rsid w:val="00271688"/>
    <w:pPr>
      <w:keepNext/>
      <w:widowControl w:val="0"/>
      <w:overflowPunct w:val="0"/>
      <w:autoSpaceDE w:val="0"/>
      <w:autoSpaceDN w:val="0"/>
      <w:bidi w:val="0"/>
      <w:adjustRightInd w:val="0"/>
      <w:textAlignment w:val="baseline"/>
    </w:pPr>
    <w:rPr>
      <w:rFonts w:cs="Times New Roman"/>
      <w:b/>
      <w:sz w:val="22"/>
      <w:szCs w:val="20"/>
      <w:lang w:val="en-GB" w:eastAsia="en-US" w:bidi="ar-SA"/>
    </w:rPr>
  </w:style>
  <w:style w:type="paragraph" w:customStyle="1" w:styleId="Default">
    <w:name w:val="Default"/>
    <w:rsid w:val="00580E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uthors">
    <w:name w:val="Authors"/>
    <w:basedOn w:val="a"/>
    <w:rsid w:val="00E36CC2"/>
    <w:pPr>
      <w:keepNext/>
      <w:tabs>
        <w:tab w:val="left" w:pos="2268"/>
      </w:tabs>
      <w:bidi w:val="0"/>
      <w:spacing w:before="240"/>
    </w:pPr>
    <w:rPr>
      <w:rFonts w:ascii="Arial" w:hAnsi="Arial" w:cs="Times New Roman"/>
      <w:sz w:val="22"/>
      <w:szCs w:val="20"/>
      <w:lang w:eastAsia="en-US" w:bidi="ar-SA"/>
    </w:rPr>
  </w:style>
  <w:style w:type="character" w:customStyle="1" w:styleId="BoldCharacter">
    <w:name w:val="Bold Character"/>
    <w:rsid w:val="00E36CC2"/>
    <w:rPr>
      <w:b/>
    </w:rPr>
  </w:style>
  <w:style w:type="paragraph" w:customStyle="1" w:styleId="TblTextLeft">
    <w:name w:val="Tbl Text Left"/>
    <w:rsid w:val="00E36CC2"/>
    <w:pPr>
      <w:spacing w:before="60" w:after="60"/>
    </w:pPr>
    <w:rPr>
      <w:rFonts w:ascii="Arial Narrow" w:hAnsi="Arial Narrow"/>
      <w:lang w:bidi="ar-SA"/>
    </w:rPr>
  </w:style>
  <w:style w:type="paragraph" w:customStyle="1" w:styleId="Normal11pt">
    <w:name w:val="Normal + 11pt"/>
    <w:basedOn w:val="a"/>
    <w:rsid w:val="00E36CC2"/>
    <w:pPr>
      <w:bidi w:val="0"/>
    </w:pPr>
    <w:rPr>
      <w:rFonts w:cs="Times New Roman"/>
      <w:sz w:val="22"/>
      <w:szCs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utoNumber xmlns="43f5c83f-d7ad-4276-a107-8019a824ecd5">164368116</AutoNumber>
    <REQUESTNUMBER xmlns="43f5c83f-d7ad-4276-a107-8019a824ecd5">92055,103246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33416,91614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2,2</REQUESTTYPE>
    <UCOMMENTS xmlns="43f5c83f-d7ad-4276-a107-8019a824ecd5">טופס החמרות לעלון לרופא 04.15</UCOMMENTS>
    <OWNER xmlns="43f5c83f-d7ad-4276-a107-8019a824ecd5">722,722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70</DOCUMENTTYPE>
    <LANGUAGE xmlns="43f5c83f-d7ad-4276-a107-8019a824ecd5">_</LANGUAGE>
    <FILEEXT xmlns="43f5c83f-d7ad-4276-a107-8019a824ecd5">docx</FILEEXT>
    <SAPNAME xmlns="43f5c83f-d7ad-4276-a107-8019a824ecd5">357</SAPNAME>
    <SDDocumentSource xmlns="43f5c83f-d7ad-4276-a107-8019a824ecd5" xsi:nil="true"/>
    <SDImportance xmlns="43f5c83f-d7ad-4276-a107-8019a824ecd5" xsi:nil="true"/>
    <REGISTRATIONNUMBER xmlns="43f5c83f-d7ad-4276-a107-8019a824ecd5">3309200,3309201</REGISTRATIONNUMBER>
    <SDCategories xmlns="43f5c83f-d7ad-4276-a107-8019a824ecd5" xsi:nil="true"/>
    <SDDocDate xmlns="43f5c83f-d7ad-4276-a107-8019a824ecd5">1903-03-03T06:00:01+00:00</SDDocDate>
    <DRAGOBJID xmlns="43f5c83f-d7ad-4276-a107-8019a824ecd5">3309200,3309201</DRAGOBJID>
    <mossuploaddate xmlns="43f5c83f-d7ad-4276-a107-8019a824ecd5">2015-04-20 09:29:10</mossuploaddate>
    <SDExternalEntityConnected xmlns="43f5c83f-d7ad-4276-a107-8019a824ecd5" xsi:nil="true"/>
  </documentManagement>
</p:properties>
</file>

<file path=customXml/itemProps1.xml><?xml version="1.0" encoding="utf-8"?>
<ds:datastoreItem xmlns:ds="http://schemas.openxmlformats.org/officeDocument/2006/customXml" ds:itemID="{69C7342A-8B3B-4893-A6B2-5F76CEF80109}"/>
</file>

<file path=customXml/itemProps2.xml><?xml version="1.0" encoding="utf-8"?>
<ds:datastoreItem xmlns:ds="http://schemas.openxmlformats.org/officeDocument/2006/customXml" ds:itemID="{2F4AA1E2-CDCF-43BC-8568-030E9DCC39D5}"/>
</file>

<file path=customXml/itemProps3.xml><?xml version="1.0" encoding="utf-8"?>
<ds:datastoreItem xmlns:ds="http://schemas.openxmlformats.org/officeDocument/2006/customXml" ds:itemID="{EC8E4945-6EC3-4FD5-91A3-B5E2F28D9271}"/>
</file>

<file path=customXml/itemProps4.xml><?xml version="1.0" encoding="utf-8"?>
<ds:datastoreItem xmlns:ds="http://schemas.openxmlformats.org/officeDocument/2006/customXml" ds:itemID="{F3810170-8618-4D04-BC52-1E7A62DAF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1271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הודעה על החמרה  ( מידע בטיחות)  בעלון לצרכן</vt:lpstr>
    </vt:vector>
  </TitlesOfParts>
  <Company>Ministry of Health</Company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taxotere 33092 spc worsening 04.15</dc:title>
  <dc:creator>g</dc:creator>
  <cp:lastModifiedBy>מילי דיוינסקי</cp:lastModifiedBy>
  <cp:revision>17</cp:revision>
  <cp:lastPrinted>2015-02-01T12:04:00Z</cp:lastPrinted>
  <dcterms:created xsi:type="dcterms:W3CDTF">2015-01-28T10:29:00Z</dcterms:created>
  <dcterms:modified xsi:type="dcterms:W3CDTF">2015-04-20T06:19:00Z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1830543488</vt:i4>
  </property>
  <property fmtid="{D5CDD505-2E9C-101B-9397-08002B2CF9AE}" pid="3" name="_NewReviewCycle">
    <vt:lpwstr/>
  </property>
  <property fmtid="{D5CDD505-2E9C-101B-9397-08002B2CF9AE}" pid="4" name="_EmailSubject">
    <vt:lpwstr>Taxotere - 1444433092 - בקשה לעדכון העלון לרופא </vt:lpwstr>
  </property>
  <property fmtid="{D5CDD505-2E9C-101B-9397-08002B2CF9AE}" pid="5" name="_AuthorEmail">
    <vt:lpwstr>Galia.Hochstadt@sanofi.com</vt:lpwstr>
  </property>
  <property fmtid="{D5CDD505-2E9C-101B-9397-08002B2CF9AE}" pid="6" name="_AuthorEmailDisplayName">
    <vt:lpwstr>Hochstadt, Galia PH/IL</vt:lpwstr>
  </property>
  <property fmtid="{D5CDD505-2E9C-101B-9397-08002B2CF9AE}" pid="7" name="_ReviewingToolsShownOnce">
    <vt:lpwstr/>
  </property>
  <property fmtid="{D5CDD505-2E9C-101B-9397-08002B2CF9AE}" pid="8" name="ContentTypeId">
    <vt:lpwstr>0x0101003087E69DB9DC9043B61CAF33AD2347EC02001CBDDCEF83C24E4BB60E8B2AD3F1B4C6</vt:lpwstr>
  </property>
  <property fmtid="{D5CDD505-2E9C-101B-9397-08002B2CF9AE}" pid="9" name="ARCHIVE_INDICATION">
    <vt:lpwstr>1</vt:lpwstr>
  </property>
  <property fmtid="{D5CDD505-2E9C-101B-9397-08002B2CF9AE}" pid="10" name="DOCM_CREATION_DATE">
    <vt:lpwstr>null</vt:lpwstr>
  </property>
</Properties>
</file>