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2" w:rsidRPr="003C4032" w:rsidRDefault="00A9463E" w:rsidP="003C4032">
      <w:pPr>
        <w:pStyle w:val="1"/>
        <w:rPr>
          <w:rFonts w:asciiTheme="minorBidi" w:hAnsiTheme="minorBidi" w:cstheme="minorBidi"/>
          <w:b w:val="0"/>
          <w:bCs w:val="0"/>
          <w:emboss/>
          <w:color w:val="C0C0C0"/>
          <w:sz w:val="32"/>
          <w:szCs w:val="32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הודעה על החמרה  ( מידע בטיחות)  בעלון ל</w:t>
      </w:r>
      <w:r w:rsidR="00015456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>רופא</w:t>
      </w:r>
      <w:r w:rsidR="00E41CF3" w:rsidRPr="003C4032">
        <w:rPr>
          <w:rFonts w:asciiTheme="minorBidi" w:hAnsiTheme="minorBidi" w:cstheme="minorBidi"/>
          <w:emboss/>
          <w:color w:val="C0C0C0"/>
          <w:sz w:val="32"/>
          <w:szCs w:val="32"/>
          <w:u w:val="none"/>
          <w:shd w:val="clear" w:color="auto" w:fill="000000"/>
          <w:rtl/>
        </w:rPr>
        <w:t xml:space="preserve"> </w:t>
      </w:r>
    </w:p>
    <w:p w:rsidR="00A9463E" w:rsidRPr="003C4032" w:rsidRDefault="00E41CF3" w:rsidP="003C4032">
      <w:pPr>
        <w:pStyle w:val="1"/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</w:pPr>
      <w:r w:rsidRPr="003C4032">
        <w:rPr>
          <w:rFonts w:asciiTheme="minorBidi" w:hAnsiTheme="minorBidi" w:cstheme="minorBidi"/>
          <w:b w:val="0"/>
          <w:bCs w:val="0"/>
          <w:emboss/>
          <w:color w:val="C0C0C0"/>
          <w:sz w:val="24"/>
          <w:szCs w:val="24"/>
          <w:u w:val="none"/>
          <w:shd w:val="clear" w:color="auto" w:fill="000000"/>
          <w:rtl/>
        </w:rPr>
        <w:t>(מעודכן 05.2013)</w:t>
      </w:r>
      <w:r w:rsidR="00A9463E" w:rsidRPr="003C4032">
        <w:rPr>
          <w:rFonts w:asciiTheme="minorBidi" w:hAnsiTheme="minorBidi" w:cstheme="minorBidi"/>
          <w:emboss/>
          <w:color w:val="C0C0C0"/>
          <w:sz w:val="24"/>
          <w:szCs w:val="24"/>
          <w:u w:val="none"/>
          <w:shd w:val="clear" w:color="auto" w:fill="000000"/>
          <w:rtl/>
        </w:rPr>
        <w:t xml:space="preserve"> </w:t>
      </w:r>
    </w:p>
    <w:p w:rsidR="003C4032" w:rsidRPr="003C4032" w:rsidRDefault="003C4032" w:rsidP="003C4032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9463E" w:rsidRPr="000B0554" w:rsidRDefault="00A9463E" w:rsidP="000B0554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תאריך </w:t>
      </w:r>
      <w:r w:rsidR="000B0554" w:rsidRPr="00EE0F71">
        <w:rPr>
          <w:rFonts w:asciiTheme="minorBidi" w:hAnsiTheme="minorBidi" w:cstheme="minorBidi"/>
          <w:b/>
          <w:sz w:val="22"/>
          <w:szCs w:val="22"/>
          <w:u w:val="single"/>
        </w:rPr>
        <w:t>02/2014</w:t>
      </w:r>
    </w:p>
    <w:p w:rsidR="00A9463E" w:rsidRPr="003C4032" w:rsidRDefault="00A9463E" w:rsidP="00DA145A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>שם תכשיר באנגלית</w:t>
      </w:r>
      <w:r w:rsidR="00410789"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ומספר הרישום</w:t>
      </w:r>
      <w:r w:rsidR="00DA1744"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DA145A" w:rsidRPr="00EE0F71">
        <w:rPr>
          <w:rFonts w:asciiTheme="minorBidi" w:hAnsiTheme="minorBidi" w:cstheme="minorBidi"/>
          <w:b/>
          <w:sz w:val="22"/>
          <w:szCs w:val="22"/>
          <w:u w:val="single"/>
        </w:rPr>
        <w:t>HYCAMTIN: 1</w:t>
      </w:r>
      <w:r w:rsidR="00DA145A">
        <w:rPr>
          <w:rFonts w:asciiTheme="minorBidi" w:hAnsiTheme="minorBidi" w:cstheme="minorBidi"/>
          <w:b/>
          <w:sz w:val="22"/>
          <w:szCs w:val="22"/>
          <w:u w:val="single"/>
        </w:rPr>
        <w:t>04-89</w:t>
      </w:r>
      <w:r w:rsidR="00DA145A" w:rsidRPr="00EE0F71">
        <w:rPr>
          <w:rFonts w:asciiTheme="minorBidi" w:hAnsiTheme="minorBidi" w:cstheme="minorBidi"/>
          <w:b/>
          <w:sz w:val="22"/>
          <w:szCs w:val="22"/>
          <w:u w:val="single"/>
        </w:rPr>
        <w:t>-</w:t>
      </w:r>
      <w:r w:rsidR="00DA145A">
        <w:rPr>
          <w:rFonts w:asciiTheme="minorBidi" w:hAnsiTheme="minorBidi" w:cstheme="minorBidi"/>
          <w:b/>
          <w:sz w:val="22"/>
          <w:szCs w:val="22"/>
          <w:u w:val="single"/>
        </w:rPr>
        <w:t>28936</w:t>
      </w:r>
    </w:p>
    <w:p w:rsidR="00EE3F64" w:rsidRDefault="00EF09EC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>שם בעל הרישום</w:t>
      </w:r>
      <w:r w:rsidR="00DA1744"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E04CAE" w:rsidRPr="003C4032">
        <w:rPr>
          <w:rFonts w:asciiTheme="minorBidi" w:hAnsiTheme="minorBidi" w:cstheme="minorBidi"/>
          <w:b/>
          <w:bCs/>
          <w:sz w:val="22"/>
          <w:szCs w:val="22"/>
          <w:u w:val="single"/>
        </w:rPr>
        <w:t>GlaxoSmithKline (ISRAEL) Ltd</w:t>
      </w:r>
      <w:r w:rsidR="00E04CAE" w:rsidRPr="003C4032">
        <w:rPr>
          <w:rFonts w:asciiTheme="minorBidi" w:hAnsiTheme="minorBidi" w:cstheme="minorBidi"/>
          <w:b/>
          <w:bCs/>
          <w:sz w:val="22"/>
          <w:szCs w:val="22"/>
        </w:rPr>
        <w:t xml:space="preserve"> : </w:t>
      </w:r>
    </w:p>
    <w:p w:rsidR="00964251" w:rsidRPr="003C4032" w:rsidRDefault="00964251" w:rsidP="003C4032">
      <w:pPr>
        <w:rPr>
          <w:rFonts w:asciiTheme="minorBidi" w:hAnsiTheme="minorBidi" w:cstheme="minorBidi"/>
          <w:color w:val="FF0000"/>
          <w:sz w:val="22"/>
          <w:szCs w:val="22"/>
          <w:rtl/>
        </w:rPr>
      </w:pPr>
    </w:p>
    <w:p w:rsidR="00F03688" w:rsidRPr="003C4032" w:rsidRDefault="00C02735" w:rsidP="003C4032">
      <w:pPr>
        <w:jc w:val="center"/>
        <w:rPr>
          <w:rFonts w:asciiTheme="minorBidi" w:hAnsiTheme="minorBidi" w:cstheme="minorBidi"/>
          <w:color w:val="FF0000"/>
          <w:sz w:val="22"/>
          <w:szCs w:val="22"/>
          <w:rtl/>
        </w:rPr>
      </w:pPr>
      <w:r w:rsidRPr="003C4032">
        <w:rPr>
          <w:rFonts w:asciiTheme="minorBidi" w:hAnsiTheme="minorBidi" w:cstheme="minorBidi"/>
          <w:color w:val="FF0000"/>
          <w:sz w:val="22"/>
          <w:szCs w:val="22"/>
          <w:rtl/>
        </w:rPr>
        <w:t>טופס זה מיועד לפרוט ההחמרות בלבד !</w:t>
      </w:r>
    </w:p>
    <w:p w:rsidR="00A9463E" w:rsidRPr="003C4032" w:rsidRDefault="00E04CAE" w:rsidP="003C4032">
      <w:pPr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</w:pPr>
      <w:r w:rsidRPr="003C4032">
        <w:rPr>
          <w:rFonts w:asciiTheme="minorBidi" w:hAnsiTheme="minorBidi" w:cstheme="minorBidi"/>
          <w:emboss/>
          <w:color w:val="C0C0C0"/>
          <w:sz w:val="22"/>
          <w:szCs w:val="22"/>
          <w:shd w:val="clear" w:color="auto" w:fill="000000"/>
          <w:rtl/>
        </w:rPr>
        <w:t>בעלון לרופא</w:t>
      </w: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3119"/>
        <w:gridCol w:w="3544"/>
      </w:tblGrid>
      <w:tr w:rsidR="00A9463E" w:rsidRPr="003C4032" w:rsidTr="00C6124B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3315C3" w:rsidRPr="003C4032" w:rsidRDefault="003315C3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3315C3" w:rsidRPr="003C4032" w:rsidRDefault="00A875C0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A9463E" w:rsidRPr="003C4032" w:rsidTr="00AA282E">
        <w:trPr>
          <w:trHeight w:val="555"/>
        </w:trPr>
        <w:tc>
          <w:tcPr>
            <w:tcW w:w="2353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פרק בעלון</w:t>
            </w: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3544" w:type="dxa"/>
            <w:tcBorders>
              <w:top w:val="nil"/>
              <w:right w:val="single" w:sz="4" w:space="0" w:color="auto"/>
            </w:tcBorders>
          </w:tcPr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A9463E" w:rsidRPr="003C4032" w:rsidRDefault="00A9463E" w:rsidP="003C403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C40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AA282E" w:rsidRPr="00AA282E" w:rsidTr="00AA282E">
        <w:trPr>
          <w:trHeight w:val="579"/>
        </w:trPr>
        <w:tc>
          <w:tcPr>
            <w:tcW w:w="2353" w:type="dxa"/>
            <w:vMerge w:val="restart"/>
            <w:vAlign w:val="center"/>
          </w:tcPr>
          <w:p w:rsidR="00AA282E" w:rsidRPr="00AA282E" w:rsidRDefault="00AA282E" w:rsidP="00AA282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Undesirable effects</w:t>
            </w:r>
          </w:p>
        </w:tc>
        <w:tc>
          <w:tcPr>
            <w:tcW w:w="3119" w:type="dxa"/>
          </w:tcPr>
          <w:p w:rsidR="00AA282E" w:rsidRPr="00AA282E" w:rsidRDefault="00AA282E" w:rsidP="00381CBF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Blood and lymphatic system disorders</w:t>
            </w:r>
          </w:p>
          <w:p w:rsidR="00AA282E" w:rsidRPr="00AA282E" w:rsidRDefault="00AA282E" w:rsidP="009B356D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Very Common: </w:t>
            </w:r>
            <w:proofErr w:type="spellStart"/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Anaemia</w:t>
            </w:r>
            <w:proofErr w:type="spellEnd"/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, febrile neutropenia, leucopenia, neutropenia, thrombocytopenia</w:t>
            </w:r>
          </w:p>
          <w:p w:rsidR="00AA282E" w:rsidRPr="00AA282E" w:rsidRDefault="00AA282E" w:rsidP="009B356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Not known: Severe bleeding (associated with thrombocytopenia)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A282E" w:rsidRPr="00AA282E" w:rsidRDefault="00AA282E" w:rsidP="00DA145A">
            <w:pPr>
              <w:bidi w:val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Blood and lymphatic system disorders</w:t>
            </w:r>
          </w:p>
          <w:p w:rsidR="00AA282E" w:rsidRPr="00AA282E" w:rsidRDefault="00AA282E" w:rsidP="00DA145A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Very common: febrile</w:t>
            </w:r>
            <w:r w:rsidRPr="00AA282E">
              <w:rPr>
                <w:sz w:val="20"/>
                <w:szCs w:val="20"/>
              </w:rPr>
              <w:t xml:space="preserve"> </w:t>
            </w: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neutropenia, neutropenia (see Gastrointestinal disorders),</w:t>
            </w:r>
            <w:r w:rsidRPr="00AA282E">
              <w:rPr>
                <w:sz w:val="20"/>
                <w:szCs w:val="20"/>
              </w:rPr>
              <w:t xml:space="preserve"> </w:t>
            </w: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thrombocytopenia, </w:t>
            </w:r>
            <w:proofErr w:type="spellStart"/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anaemia</w:t>
            </w:r>
            <w:proofErr w:type="spellEnd"/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, leucopenia</w:t>
            </w:r>
          </w:p>
          <w:p w:rsidR="00AA282E" w:rsidRPr="00AA282E" w:rsidRDefault="00AA282E" w:rsidP="00DA145A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Common: </w:t>
            </w:r>
            <w:r w:rsidRPr="00AA282E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pancytopenia</w:t>
            </w:r>
          </w:p>
          <w:p w:rsidR="00AA282E" w:rsidRPr="00AA282E" w:rsidRDefault="00AA282E" w:rsidP="00DA145A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Not known: severe bleeding (associated with thrombocytopenia)</w:t>
            </w:r>
          </w:p>
        </w:tc>
      </w:tr>
      <w:tr w:rsidR="00AA282E" w:rsidRPr="00AA282E" w:rsidTr="00DE1C76">
        <w:trPr>
          <w:trHeight w:val="558"/>
        </w:trPr>
        <w:tc>
          <w:tcPr>
            <w:tcW w:w="2353" w:type="dxa"/>
            <w:vMerge/>
          </w:tcPr>
          <w:p w:rsidR="00AA282E" w:rsidRPr="00AA282E" w:rsidRDefault="00AA282E" w:rsidP="003C403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A282E" w:rsidRPr="00AA282E" w:rsidRDefault="00AA282E" w:rsidP="00692F49">
            <w:pPr>
              <w:bidi w:val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Skin and subcutaneous disorders</w:t>
            </w:r>
          </w:p>
          <w:p w:rsidR="00AA282E" w:rsidRPr="00AA282E" w:rsidRDefault="00AA282E" w:rsidP="00692F49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Very Common: Alopecia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A282E" w:rsidRPr="00AA282E" w:rsidRDefault="00AA282E" w:rsidP="00381CBF">
            <w:pPr>
              <w:bidi w:val="0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Skin and subcutaneous tissue disorders</w:t>
            </w:r>
          </w:p>
          <w:p w:rsidR="00AA282E" w:rsidRPr="00AA282E" w:rsidRDefault="00AA282E" w:rsidP="00306AD1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Very common: alopecia</w:t>
            </w:r>
          </w:p>
          <w:p w:rsidR="00AA282E" w:rsidRPr="00AA282E" w:rsidRDefault="00AA282E" w:rsidP="00306AD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Common: </w:t>
            </w:r>
            <w:r w:rsidRPr="00AA282E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pruritus</w:t>
            </w:r>
          </w:p>
        </w:tc>
      </w:tr>
      <w:tr w:rsidR="00AA282E" w:rsidRPr="00AA282E" w:rsidTr="00DE1C76">
        <w:trPr>
          <w:trHeight w:val="699"/>
        </w:trPr>
        <w:tc>
          <w:tcPr>
            <w:tcW w:w="2353" w:type="dxa"/>
            <w:vMerge/>
          </w:tcPr>
          <w:p w:rsidR="00AA282E" w:rsidRPr="00AA282E" w:rsidRDefault="00AA282E" w:rsidP="003C403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AA282E" w:rsidRPr="00AA282E" w:rsidRDefault="00AA282E" w:rsidP="005F36D9">
            <w:pPr>
              <w:bidi w:val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Infections and infestations</w:t>
            </w:r>
          </w:p>
          <w:p w:rsidR="00AA282E" w:rsidRPr="00AA282E" w:rsidRDefault="00AA282E" w:rsidP="005F36D9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Common: Infection, sepsis (see Warnings and Precautions)</w:t>
            </w:r>
          </w:p>
          <w:p w:rsidR="00AA282E" w:rsidRPr="00AA282E" w:rsidRDefault="00AA282E" w:rsidP="005F36D9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A282E" w:rsidRPr="00AA282E" w:rsidRDefault="00AA282E" w:rsidP="00C74B88">
            <w:pPr>
              <w:bidi w:val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Infections and infestations</w:t>
            </w:r>
          </w:p>
          <w:p w:rsidR="00AA282E" w:rsidRPr="00AA282E" w:rsidRDefault="00AA282E" w:rsidP="00C74B88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Very common:</w:t>
            </w: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infection</w:t>
            </w:r>
          </w:p>
          <w:p w:rsidR="00AA282E" w:rsidRPr="00AA282E" w:rsidRDefault="00AA282E" w:rsidP="0058671C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Common: sepsis</w:t>
            </w:r>
            <w:bookmarkStart w:id="0" w:name="_GoBack"/>
            <w:bookmarkEnd w:id="0"/>
          </w:p>
          <w:p w:rsidR="00AA282E" w:rsidRPr="00AA282E" w:rsidRDefault="00AA282E" w:rsidP="00C74B88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AA282E" w:rsidRPr="00AA282E" w:rsidTr="00DE1C76">
        <w:trPr>
          <w:trHeight w:val="512"/>
        </w:trPr>
        <w:tc>
          <w:tcPr>
            <w:tcW w:w="2353" w:type="dxa"/>
            <w:vMerge/>
          </w:tcPr>
          <w:p w:rsidR="00AA282E" w:rsidRPr="00AA282E" w:rsidRDefault="00AA282E" w:rsidP="003C403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AA282E" w:rsidRPr="00AA282E" w:rsidRDefault="00AA282E" w:rsidP="00217E81">
            <w:pPr>
              <w:bidi w:val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Immune system disorders</w:t>
            </w:r>
          </w:p>
          <w:p w:rsidR="00AA282E" w:rsidRPr="00AA282E" w:rsidRDefault="00AA282E" w:rsidP="00217E81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Common: Hypersensitivity, including rash</w:t>
            </w:r>
          </w:p>
          <w:p w:rsidR="00AA282E" w:rsidRPr="00AA282E" w:rsidRDefault="00AA282E" w:rsidP="00217E81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trike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A282E" w:rsidRPr="00AA282E" w:rsidRDefault="00AA282E" w:rsidP="00217E81">
            <w:pPr>
              <w:bidi w:val="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Immune system disorders</w:t>
            </w:r>
          </w:p>
          <w:p w:rsidR="00AA282E" w:rsidRPr="00AA282E" w:rsidRDefault="00AA282E" w:rsidP="00217E81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>Common: hypersensitivity reaction including rash</w:t>
            </w:r>
          </w:p>
          <w:p w:rsidR="00AA282E" w:rsidRPr="00AA282E" w:rsidRDefault="00AA282E" w:rsidP="00217E81">
            <w:pPr>
              <w:bidi w:val="0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Rare: </w:t>
            </w:r>
            <w:r w:rsidRPr="00AA282E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 xml:space="preserve">anaphylactic reaction, angioedema, </w:t>
            </w:r>
            <w:proofErr w:type="spellStart"/>
            <w:r w:rsidRPr="00AA282E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urticaria</w:t>
            </w:r>
            <w:proofErr w:type="spellEnd"/>
          </w:p>
        </w:tc>
      </w:tr>
      <w:tr w:rsidR="00AA282E" w:rsidRPr="00AA282E" w:rsidTr="00AA282E">
        <w:trPr>
          <w:trHeight w:val="1501"/>
        </w:trPr>
        <w:tc>
          <w:tcPr>
            <w:tcW w:w="2353" w:type="dxa"/>
            <w:vMerge/>
          </w:tcPr>
          <w:p w:rsidR="00AA282E" w:rsidRPr="00AA282E" w:rsidRDefault="00AA282E" w:rsidP="003C403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AA282E" w:rsidRPr="00AA282E" w:rsidRDefault="00AA282E" w:rsidP="00AA282E">
            <w:pPr>
              <w:bidi w:val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A282E" w:rsidRPr="00AA282E" w:rsidRDefault="00AA282E" w:rsidP="009D1851">
            <w:pPr>
              <w:numPr>
                <w:ilvl w:val="12"/>
                <w:numId w:val="0"/>
              </w:num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AA282E"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  <w:t>The incidence of adverse events listed above have the potential to occur with a higher frequency in patients who have a poor performance status (see section 4.4).</w:t>
            </w:r>
          </w:p>
          <w:p w:rsidR="00AA282E" w:rsidRPr="00AA282E" w:rsidRDefault="00AA282E" w:rsidP="009D1851">
            <w:pPr>
              <w:bidi w:val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9D1851" w:rsidRPr="00AA282E" w:rsidTr="00AA282E">
        <w:trPr>
          <w:trHeight w:val="1501"/>
        </w:trPr>
        <w:tc>
          <w:tcPr>
            <w:tcW w:w="2353" w:type="dxa"/>
          </w:tcPr>
          <w:p w:rsidR="009D1851" w:rsidRDefault="009D1851" w:rsidP="009D1851">
            <w:pPr>
              <w:pStyle w:val="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50EDE">
              <w:rPr>
                <w:rFonts w:ascii="Arial" w:hAnsi="Arial" w:cs="Arial"/>
                <w:sz w:val="26"/>
                <w:szCs w:val="26"/>
              </w:rPr>
              <w:lastRenderedPageBreak/>
              <w:t>Overdosage</w:t>
            </w:r>
            <w:proofErr w:type="spellEnd"/>
          </w:p>
          <w:p w:rsidR="009D1851" w:rsidRPr="00AA282E" w:rsidRDefault="009D1851" w:rsidP="003C403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9" w:type="dxa"/>
            <w:vAlign w:val="center"/>
          </w:tcPr>
          <w:p w:rsidR="009D1851" w:rsidRDefault="009D1851" w:rsidP="009D1851">
            <w:pPr>
              <w:pStyle w:val="NoNumHead3"/>
            </w:pPr>
          </w:p>
          <w:p w:rsidR="009D1851" w:rsidRPr="00750EDE" w:rsidRDefault="009D1851" w:rsidP="009D1851">
            <w:pPr>
              <w:pStyle w:val="NoNumHead3"/>
            </w:pPr>
            <w:r w:rsidRPr="00750EDE">
              <w:t>Symptoms and Signs</w:t>
            </w:r>
          </w:p>
          <w:p w:rsidR="009D1851" w:rsidRPr="00750EDE" w:rsidRDefault="009D1851" w:rsidP="009D1851">
            <w:pPr>
              <w:bidi w:val="0"/>
              <w:spacing w:line="240" w:lineRule="atLeast"/>
              <w:jc w:val="both"/>
              <w:rPr>
                <w:rFonts w:cs="Times"/>
              </w:rPr>
            </w:pPr>
            <w:r w:rsidRPr="00750EDE">
              <w:rPr>
                <w:rFonts w:cs="Times"/>
              </w:rPr>
              <w:t xml:space="preserve">The primary complications of </w:t>
            </w:r>
            <w:proofErr w:type="spellStart"/>
            <w:r w:rsidRPr="00750EDE">
              <w:rPr>
                <w:rFonts w:cs="Times"/>
              </w:rPr>
              <w:t>overdosage</w:t>
            </w:r>
            <w:proofErr w:type="spellEnd"/>
            <w:r w:rsidRPr="00750EDE">
              <w:rPr>
                <w:rFonts w:cs="Times"/>
              </w:rPr>
              <w:t xml:space="preserve"> are anticipated to be bone marrow suppression and stomatitis.</w:t>
            </w:r>
          </w:p>
          <w:p w:rsidR="009D1851" w:rsidRPr="00750EDE" w:rsidRDefault="009D1851" w:rsidP="009D1851">
            <w:pPr>
              <w:pStyle w:val="NoNumHead3"/>
            </w:pPr>
          </w:p>
          <w:p w:rsidR="009D1851" w:rsidRPr="00750EDE" w:rsidRDefault="009D1851" w:rsidP="009D1851">
            <w:pPr>
              <w:pStyle w:val="NoNumHead3"/>
            </w:pPr>
            <w:r w:rsidRPr="00750EDE">
              <w:t>Treatment</w:t>
            </w:r>
          </w:p>
          <w:p w:rsidR="009D1851" w:rsidRPr="00750EDE" w:rsidRDefault="009D1851" w:rsidP="009D1851">
            <w:pPr>
              <w:bidi w:val="0"/>
            </w:pPr>
            <w:r w:rsidRPr="00750EDE">
              <w:t xml:space="preserve">There is no known antidote for </w:t>
            </w:r>
            <w:proofErr w:type="spellStart"/>
            <w:r w:rsidRPr="00750EDE">
              <w:t>topotecan</w:t>
            </w:r>
            <w:proofErr w:type="spellEnd"/>
            <w:r w:rsidRPr="00750EDE">
              <w:t xml:space="preserve"> </w:t>
            </w:r>
            <w:proofErr w:type="spellStart"/>
            <w:r w:rsidRPr="00750EDE">
              <w:t>overdosage</w:t>
            </w:r>
            <w:proofErr w:type="spellEnd"/>
            <w:r w:rsidRPr="00750EDE">
              <w:t xml:space="preserve">. </w:t>
            </w:r>
          </w:p>
          <w:p w:rsidR="009D1851" w:rsidRPr="00AA282E" w:rsidRDefault="009D1851" w:rsidP="00AA282E">
            <w:pPr>
              <w:bidi w:val="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D1851" w:rsidRPr="00D5604B" w:rsidRDefault="009D1851" w:rsidP="009D1851">
            <w:pPr>
              <w:bidi w:val="0"/>
            </w:pPr>
            <w:r w:rsidRPr="00D5604B">
              <w:t xml:space="preserve">Overdoses (up to 10-fold of the prescribed dose) occurred in patients treated with intravenous </w:t>
            </w:r>
            <w:proofErr w:type="spellStart"/>
            <w:r w:rsidRPr="00D5604B">
              <w:t>topotecan</w:t>
            </w:r>
            <w:proofErr w:type="spellEnd"/>
            <w:r w:rsidRPr="00D5604B">
              <w:t xml:space="preserve">. The primary complication of </w:t>
            </w:r>
            <w:proofErr w:type="spellStart"/>
            <w:r w:rsidRPr="00D5604B">
              <w:t>overdosage</w:t>
            </w:r>
            <w:proofErr w:type="spellEnd"/>
            <w:r w:rsidRPr="00D5604B">
              <w:t xml:space="preserve"> is bone marrow suppression. The observed signs and symptoms of overdose are consistent with the known adverse reactions associated wit</w:t>
            </w:r>
            <w:r>
              <w:t>h HYCAMTIN for intravenous use</w:t>
            </w:r>
            <w:r w:rsidRPr="00D5604B">
              <w:t xml:space="preserve">. In addition, </w:t>
            </w:r>
            <w:r w:rsidRPr="009D1851">
              <w:rPr>
                <w:highlight w:val="yellow"/>
              </w:rPr>
              <w:t xml:space="preserve">elevated hepatic enzymes and </w:t>
            </w:r>
            <w:proofErr w:type="spellStart"/>
            <w:r w:rsidRPr="009D1851">
              <w:rPr>
                <w:highlight w:val="yellow"/>
              </w:rPr>
              <w:t>mucositis</w:t>
            </w:r>
            <w:proofErr w:type="spellEnd"/>
            <w:r w:rsidRPr="009D1851">
              <w:rPr>
                <w:highlight w:val="yellow"/>
              </w:rPr>
              <w:t xml:space="preserve"> have been reported following overdose</w:t>
            </w:r>
            <w:r w:rsidRPr="00D5604B">
              <w:t>. One patient received a single dose of 40 mg/m</w:t>
            </w:r>
            <w:r w:rsidRPr="00F65B6B">
              <w:rPr>
                <w:vertAlign w:val="superscript"/>
              </w:rPr>
              <w:t>2</w:t>
            </w:r>
            <w:r w:rsidRPr="00D5604B">
              <w:t xml:space="preserve"> of intravenous </w:t>
            </w:r>
            <w:proofErr w:type="spellStart"/>
            <w:r w:rsidRPr="00D5604B">
              <w:t>topotecan</w:t>
            </w:r>
            <w:proofErr w:type="spellEnd"/>
            <w:r w:rsidRPr="00D5604B">
              <w:t xml:space="preserve"> and developed gastrointestinal toxicity, skin toxicity, and </w:t>
            </w:r>
            <w:proofErr w:type="spellStart"/>
            <w:r w:rsidRPr="00D5604B">
              <w:t>myelosuppresion</w:t>
            </w:r>
            <w:proofErr w:type="spellEnd"/>
            <w:r w:rsidRPr="00D5604B">
              <w:t xml:space="preserve"> leading to septic shock. Another patient received a single dose of 35 mg/m</w:t>
            </w:r>
            <w:r w:rsidRPr="00F65B6B">
              <w:rPr>
                <w:vertAlign w:val="superscript"/>
              </w:rPr>
              <w:t>2</w:t>
            </w:r>
            <w:r w:rsidRPr="00D5604B">
              <w:t xml:space="preserve"> and experienced severe, reversible neutropenia.</w:t>
            </w:r>
          </w:p>
          <w:p w:rsidR="009D1851" w:rsidRPr="00D5604B" w:rsidRDefault="009D1851" w:rsidP="009D1851">
            <w:pPr>
              <w:bidi w:val="0"/>
            </w:pPr>
            <w:r w:rsidRPr="00D5604B">
              <w:t xml:space="preserve">There is no known antidote for </w:t>
            </w:r>
            <w:proofErr w:type="spellStart"/>
            <w:r w:rsidRPr="00D5604B">
              <w:t>overdosage</w:t>
            </w:r>
            <w:proofErr w:type="spellEnd"/>
            <w:r w:rsidRPr="00D5604B">
              <w:t xml:space="preserve"> with HYCAMTIN. If an overdose is suspected, monitor the patient for bone marrow suppression and institute supportive-care measures (such as prophylactic G-CSF and antibiotic therapy) as appropriate.</w:t>
            </w:r>
          </w:p>
          <w:p w:rsidR="009D1851" w:rsidRPr="00AA282E" w:rsidRDefault="009D1851" w:rsidP="009D1851">
            <w:pPr>
              <w:numPr>
                <w:ilvl w:val="12"/>
                <w:numId w:val="0"/>
              </w:numPr>
              <w:bidi w:val="0"/>
              <w:rPr>
                <w:rFonts w:asciiTheme="minorBidi" w:hAnsiTheme="minorBidi" w:cstheme="minorBidi"/>
                <w:bCs/>
                <w:sz w:val="20"/>
                <w:szCs w:val="20"/>
                <w:highlight w:val="yellow"/>
              </w:rPr>
            </w:pPr>
          </w:p>
        </w:tc>
      </w:tr>
    </w:tbl>
    <w:p w:rsidR="00F82F1A" w:rsidRPr="00AA282E" w:rsidRDefault="00F82F1A" w:rsidP="003C4032">
      <w:pPr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3315C3" w:rsidRPr="00AA282E" w:rsidRDefault="003315C3" w:rsidP="00AA282E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C4032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מצ"ב העלון, שבו מסומנות ההחמרות המבוקשות  </w:t>
      </w:r>
      <w:r w:rsidRPr="003C4032">
        <w:rPr>
          <w:rFonts w:asciiTheme="minorBidi" w:hAnsiTheme="minorBidi" w:cstheme="minorBidi"/>
          <w:b/>
          <w:bCs/>
          <w:sz w:val="22"/>
          <w:szCs w:val="22"/>
          <w:highlight w:val="yellow"/>
          <w:rtl/>
        </w:rPr>
        <w:t>על רקע צהוב.</w:t>
      </w:r>
      <w:r w:rsidR="00AA282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שינויים שאינם בגדר החמרות סומנו (בעלון) בצבע </w:t>
      </w:r>
      <w:r w:rsidRPr="003C4032">
        <w:rPr>
          <w:rFonts w:asciiTheme="minorBidi" w:hAnsiTheme="minorBidi" w:cstheme="minorBidi"/>
          <w:color w:val="00B050"/>
          <w:sz w:val="22"/>
          <w:szCs w:val="22"/>
          <w:rtl/>
        </w:rPr>
        <w:t>ירוק</w:t>
      </w:r>
      <w:r w:rsidRPr="003C4032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3315C3" w:rsidRPr="003C4032" w:rsidRDefault="0058671C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35pt;margin-top:4.75pt;width:440.8pt;height:0;flip:x;z-index:251658240" o:connectortype="straight">
            <w10:wrap anchorx="page"/>
          </v:shape>
        </w:pict>
      </w:r>
    </w:p>
    <w:p w:rsidR="0061272F" w:rsidRDefault="0058671C" w:rsidP="003C4032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  <w:lang w:eastAsia="en-US"/>
        </w:rPr>
        <w:pict>
          <v:shape id="_x0000_s1031" type="#_x0000_t32" style="position:absolute;left:0;text-align:left;margin-left:34.35pt;margin-top:8.65pt;width:440.8pt;height:.75pt;flip:x y;z-index:251662336" o:connectortype="straight" strokeweight="2.75pt">
            <v:stroke dashstyle="1 1"/>
            <w10:wrap anchorx="page"/>
          </v:shape>
        </w:pict>
      </w:r>
    </w:p>
    <w:sectPr w:rsidR="0061272F" w:rsidSect="003315C3">
      <w:pgSz w:w="11906" w:h="16838"/>
      <w:pgMar w:top="567" w:right="1274" w:bottom="851" w:left="1134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E1D"/>
    <w:multiLevelType w:val="hybridMultilevel"/>
    <w:tmpl w:val="CB76173E"/>
    <w:lvl w:ilvl="0" w:tplc="A5624E5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>
    <w:nsid w:val="1E3B7CAD"/>
    <w:multiLevelType w:val="hybridMultilevel"/>
    <w:tmpl w:val="E3A85B80"/>
    <w:lvl w:ilvl="0" w:tplc="A5624E54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454E26"/>
    <w:multiLevelType w:val="hybridMultilevel"/>
    <w:tmpl w:val="9D2E6784"/>
    <w:lvl w:ilvl="0" w:tplc="534E47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613B5"/>
    <w:rsid w:val="00007EC8"/>
    <w:rsid w:val="00015456"/>
    <w:rsid w:val="000356F8"/>
    <w:rsid w:val="00076710"/>
    <w:rsid w:val="000B0554"/>
    <w:rsid w:val="000B1C43"/>
    <w:rsid w:val="000F0F94"/>
    <w:rsid w:val="00112F2C"/>
    <w:rsid w:val="001543B4"/>
    <w:rsid w:val="001658AE"/>
    <w:rsid w:val="001F7182"/>
    <w:rsid w:val="002102B4"/>
    <w:rsid w:val="00217E81"/>
    <w:rsid w:val="00236AB9"/>
    <w:rsid w:val="00260355"/>
    <w:rsid w:val="00274849"/>
    <w:rsid w:val="002F3ABE"/>
    <w:rsid w:val="00300616"/>
    <w:rsid w:val="00306AD1"/>
    <w:rsid w:val="003315C3"/>
    <w:rsid w:val="00352380"/>
    <w:rsid w:val="00357B4F"/>
    <w:rsid w:val="0036025C"/>
    <w:rsid w:val="00380A93"/>
    <w:rsid w:val="00381CBF"/>
    <w:rsid w:val="00383654"/>
    <w:rsid w:val="003C1B4C"/>
    <w:rsid w:val="003C4032"/>
    <w:rsid w:val="00410789"/>
    <w:rsid w:val="004A042F"/>
    <w:rsid w:val="004D43B6"/>
    <w:rsid w:val="004E3DBF"/>
    <w:rsid w:val="00553975"/>
    <w:rsid w:val="00555195"/>
    <w:rsid w:val="00557C3E"/>
    <w:rsid w:val="0058671C"/>
    <w:rsid w:val="005A74A6"/>
    <w:rsid w:val="005D6B6C"/>
    <w:rsid w:val="005F36D9"/>
    <w:rsid w:val="0061272F"/>
    <w:rsid w:val="00614701"/>
    <w:rsid w:val="00651378"/>
    <w:rsid w:val="0068302D"/>
    <w:rsid w:val="00687E7A"/>
    <w:rsid w:val="00692F49"/>
    <w:rsid w:val="006E29B2"/>
    <w:rsid w:val="00717E56"/>
    <w:rsid w:val="00721F01"/>
    <w:rsid w:val="00730EF5"/>
    <w:rsid w:val="00732AAC"/>
    <w:rsid w:val="007353E3"/>
    <w:rsid w:val="0077274C"/>
    <w:rsid w:val="007B3181"/>
    <w:rsid w:val="007F1DF9"/>
    <w:rsid w:val="008102AD"/>
    <w:rsid w:val="00811EB0"/>
    <w:rsid w:val="00812962"/>
    <w:rsid w:val="00847093"/>
    <w:rsid w:val="0085081E"/>
    <w:rsid w:val="00862524"/>
    <w:rsid w:val="008650CF"/>
    <w:rsid w:val="00865D86"/>
    <w:rsid w:val="00873AEB"/>
    <w:rsid w:val="00887FF4"/>
    <w:rsid w:val="008C34BA"/>
    <w:rsid w:val="008E3033"/>
    <w:rsid w:val="00916F42"/>
    <w:rsid w:val="00955F40"/>
    <w:rsid w:val="00964251"/>
    <w:rsid w:val="00964A41"/>
    <w:rsid w:val="00973F87"/>
    <w:rsid w:val="00990E51"/>
    <w:rsid w:val="009B356D"/>
    <w:rsid w:val="009C4729"/>
    <w:rsid w:val="009C4FA9"/>
    <w:rsid w:val="009D1851"/>
    <w:rsid w:val="009D7361"/>
    <w:rsid w:val="00A21804"/>
    <w:rsid w:val="00A46AAB"/>
    <w:rsid w:val="00A801D5"/>
    <w:rsid w:val="00A875C0"/>
    <w:rsid w:val="00A9463E"/>
    <w:rsid w:val="00A955E8"/>
    <w:rsid w:val="00AA273E"/>
    <w:rsid w:val="00AA282E"/>
    <w:rsid w:val="00AB3445"/>
    <w:rsid w:val="00B5004E"/>
    <w:rsid w:val="00B63C52"/>
    <w:rsid w:val="00B7544B"/>
    <w:rsid w:val="00B757C7"/>
    <w:rsid w:val="00BD5E84"/>
    <w:rsid w:val="00C02735"/>
    <w:rsid w:val="00C6124B"/>
    <w:rsid w:val="00C63D1F"/>
    <w:rsid w:val="00C702AA"/>
    <w:rsid w:val="00C74B88"/>
    <w:rsid w:val="00CA59B7"/>
    <w:rsid w:val="00CC2F2F"/>
    <w:rsid w:val="00CE2209"/>
    <w:rsid w:val="00CE58E7"/>
    <w:rsid w:val="00D613B5"/>
    <w:rsid w:val="00DA145A"/>
    <w:rsid w:val="00DA1744"/>
    <w:rsid w:val="00DD036A"/>
    <w:rsid w:val="00DE1C76"/>
    <w:rsid w:val="00E04CAE"/>
    <w:rsid w:val="00E13D2C"/>
    <w:rsid w:val="00E30C0A"/>
    <w:rsid w:val="00E41CF3"/>
    <w:rsid w:val="00EA6E38"/>
    <w:rsid w:val="00EA7B74"/>
    <w:rsid w:val="00EB1F52"/>
    <w:rsid w:val="00EE3F64"/>
    <w:rsid w:val="00EF09EC"/>
    <w:rsid w:val="00F03688"/>
    <w:rsid w:val="00F043DF"/>
    <w:rsid w:val="00F66483"/>
    <w:rsid w:val="00F82F1A"/>
    <w:rsid w:val="00F972FC"/>
    <w:rsid w:val="00F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10">
    <w:name w:val="רגיל1"/>
    <w:basedOn w:val="a"/>
    <w:rsid w:val="00EB1F52"/>
    <w:pPr>
      <w:jc w:val="both"/>
    </w:pPr>
    <w:rPr>
      <w:rFonts w:cs="Miriam"/>
      <w:sz w:val="26"/>
      <w:szCs w:val="26"/>
    </w:rPr>
  </w:style>
  <w:style w:type="paragraph" w:styleId="a5">
    <w:name w:val="List Paragraph"/>
    <w:basedOn w:val="a"/>
    <w:uiPriority w:val="34"/>
    <w:qFormat/>
    <w:rsid w:val="003315C3"/>
    <w:pPr>
      <w:ind w:left="720"/>
      <w:contextualSpacing/>
    </w:pPr>
  </w:style>
  <w:style w:type="paragraph" w:customStyle="1" w:styleId="NoNumHead3">
    <w:name w:val="NoNum:Head3"/>
    <w:basedOn w:val="a"/>
    <w:next w:val="a"/>
    <w:autoRedefine/>
    <w:rsid w:val="009D1851"/>
    <w:pPr>
      <w:keepNext/>
      <w:bidi w:val="0"/>
      <w:outlineLvl w:val="0"/>
    </w:pPr>
    <w:rPr>
      <w:rFonts w:ascii="Arial" w:hAnsi="Arial" w:cs="Times New Roman"/>
      <w:b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164407016</AutoNumber>
    <REQUESTNUMBER xmlns="43f5c83f-d7ad-4276-a107-8019a824ecd5">101937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67713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_</UCOMMENTS>
    <OWNER xmlns="43f5c83f-d7ad-4276-a107-8019a824ecd5">636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305</SAPNAME>
    <SDDocumentSource xmlns="43f5c83f-d7ad-4276-a107-8019a824ecd5" xsi:nil="true"/>
    <SDImportance xmlns="43f5c83f-d7ad-4276-a107-8019a824ecd5" xsi:nil="true"/>
    <REGISTRATIONNUMBER xmlns="43f5c83f-d7ad-4276-a107-8019a824ecd5">2893621</REGISTRATIONNUMBER>
    <SDCategories xmlns="43f5c83f-d7ad-4276-a107-8019a824ecd5" xsi:nil="true"/>
    <SDDocDate xmlns="43f5c83f-d7ad-4276-a107-8019a824ecd5">1903-03-03T06:00:01+00:00</SDDocDate>
    <DRAGOBJID xmlns="43f5c83f-d7ad-4276-a107-8019a824ecd5">2893621</DRAGOBJID>
    <mossuploaddate xmlns="43f5c83f-d7ad-4276-a107-8019a824ecd5">2015-02-10 10:56:44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23D27474-D736-475D-B12E-F97D5C1A5BCA}"/>
</file>

<file path=customXml/itemProps2.xml><?xml version="1.0" encoding="utf-8"?>
<ds:datastoreItem xmlns:ds="http://schemas.openxmlformats.org/officeDocument/2006/customXml" ds:itemID="{78751FB2-C8BF-4BAA-BCAE-522070493A6C}"/>
</file>

<file path=customXml/itemProps3.xml><?xml version="1.0" encoding="utf-8"?>
<ds:datastoreItem xmlns:ds="http://schemas.openxmlformats.org/officeDocument/2006/customXml" ds:itemID="{2B79A431-6EF8-4E81-86E1-FBA4A7E3BF3A}"/>
</file>

<file path=customXml/itemProps4.xml><?xml version="1.0" encoding="utf-8"?>
<ds:datastoreItem xmlns:ds="http://schemas.openxmlformats.org/officeDocument/2006/customXml" ds:itemID="{5156E15A-08BD-464D-9657-7109A9DCF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Hycamtin_IV_worsening_02-2015.docx</dc:title>
  <dc:creator>hy47755</dc:creator>
  <cp:lastModifiedBy>מיכל בן ליש</cp:lastModifiedBy>
  <cp:revision>17</cp:revision>
  <cp:lastPrinted>2011-07-31T14:11:00Z</cp:lastPrinted>
  <dcterms:created xsi:type="dcterms:W3CDTF">2014-02-18T13:00:00Z</dcterms:created>
  <dcterms:modified xsi:type="dcterms:W3CDTF">2015-02-10T08:22:00Z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