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2" w:rsidRPr="003C4032" w:rsidRDefault="00A9463E" w:rsidP="003C4032">
      <w:pPr>
        <w:pStyle w:val="1"/>
        <w:rPr>
          <w:rFonts w:asciiTheme="minorBidi" w:hAnsiTheme="minorBidi" w:cstheme="minorBidi"/>
          <w:b w:val="0"/>
          <w:bCs w:val="0"/>
          <w:emboss/>
          <w:color w:val="C0C0C0"/>
          <w:sz w:val="32"/>
          <w:szCs w:val="32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>הודעה על החמרה  ( מידע בטיחות)  בעלון ל</w:t>
      </w:r>
      <w:r w:rsidR="00015456"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>רופא</w:t>
      </w:r>
      <w:r w:rsidR="00E41CF3"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 xml:space="preserve"> </w:t>
      </w:r>
    </w:p>
    <w:p w:rsidR="00A9463E" w:rsidRPr="003C4032" w:rsidRDefault="00E41CF3" w:rsidP="003C4032">
      <w:pPr>
        <w:pStyle w:val="1"/>
        <w:rPr>
          <w:rFonts w:asciiTheme="minorBidi" w:hAnsiTheme="minorBidi" w:cstheme="minorBidi"/>
          <w:emboss/>
          <w:color w:val="C0C0C0"/>
          <w:sz w:val="24"/>
          <w:szCs w:val="24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(מעודכן 05.2013)</w:t>
      </w:r>
      <w:r w:rsidR="00A9463E" w:rsidRPr="003C4032">
        <w:rPr>
          <w:rFonts w:asciiTheme="minorBidi" w:hAnsiTheme="minorBidi" w:cstheme="minorBidi"/>
          <w:emboss/>
          <w:color w:val="C0C0C0"/>
          <w:sz w:val="24"/>
          <w:szCs w:val="24"/>
          <w:u w:val="none"/>
          <w:shd w:val="clear" w:color="auto" w:fill="000000"/>
          <w:rtl/>
        </w:rPr>
        <w:t xml:space="preserve"> </w:t>
      </w:r>
    </w:p>
    <w:p w:rsidR="003C4032" w:rsidRPr="003C4032" w:rsidRDefault="003C4032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9463E" w:rsidRPr="003C4032" w:rsidRDefault="00DA482E" w:rsidP="00DA482E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תאריך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: </w:t>
      </w:r>
      <w:r w:rsidRPr="00DA482E">
        <w:rPr>
          <w:rFonts w:asciiTheme="minorBidi" w:hAnsiTheme="minorBidi" w:cstheme="minorBidi"/>
          <w:b/>
          <w:bCs/>
          <w:sz w:val="22"/>
          <w:szCs w:val="22"/>
          <w:u w:val="single"/>
        </w:rPr>
        <w:t>10-2014</w:t>
      </w:r>
    </w:p>
    <w:p w:rsidR="00A9463E" w:rsidRPr="00DA482E" w:rsidRDefault="00A9463E" w:rsidP="00DA482E">
      <w:pPr>
        <w:rPr>
          <w:rFonts w:asciiTheme="minorBidi" w:hAnsiTheme="minorBidi" w:cstheme="minorBidi"/>
          <w:b/>
          <w:bCs/>
          <w:sz w:val="22"/>
          <w:szCs w:val="22"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>שם תכשיר באנגלית</w:t>
      </w:r>
      <w:r w:rsidR="00410789"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ומספר הרישום</w:t>
      </w:r>
      <w:r w:rsidR="00DA482E">
        <w:rPr>
          <w:rFonts w:asciiTheme="minorBidi" w:hAnsiTheme="minorBidi" w:cstheme="minorBidi"/>
          <w:b/>
          <w:bCs/>
          <w:sz w:val="22"/>
          <w:szCs w:val="22"/>
        </w:rPr>
        <w:t>:</w:t>
      </w:r>
      <w:r w:rsidR="00DA1744"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="00DA482E" w:rsidRPr="00DA482E">
        <w:rPr>
          <w:rFonts w:asciiTheme="minorBidi" w:hAnsiTheme="minorBidi" w:cstheme="minorBidi" w:hint="cs"/>
          <w:b/>
          <w:bCs/>
          <w:sz w:val="22"/>
          <w:szCs w:val="22"/>
          <w:u w:val="single"/>
        </w:rPr>
        <w:t>Z</w:t>
      </w:r>
      <w:r w:rsidR="00DA482E" w:rsidRPr="00DA482E">
        <w:rPr>
          <w:rFonts w:asciiTheme="minorBidi" w:hAnsiTheme="minorBidi" w:cstheme="minorBidi"/>
          <w:b/>
          <w:bCs/>
          <w:sz w:val="22"/>
          <w:szCs w:val="22"/>
          <w:u w:val="single"/>
        </w:rPr>
        <w:t>ovirax</w:t>
      </w:r>
      <w:proofErr w:type="spellEnd"/>
      <w:r w:rsidR="00DA482E" w:rsidRPr="00DA482E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I.V. (Reg.No.:034-33-21976)</w:t>
      </w:r>
    </w:p>
    <w:p w:rsidR="00EE3F64" w:rsidRDefault="00EF09EC" w:rsidP="003C4032">
      <w:pPr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>שם בעל הרישום</w:t>
      </w:r>
      <w:r w:rsidR="00DA1744"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E04CAE" w:rsidRPr="003C4032">
        <w:rPr>
          <w:rFonts w:asciiTheme="minorBidi" w:hAnsiTheme="minorBidi" w:cstheme="minorBidi"/>
          <w:b/>
          <w:bCs/>
          <w:sz w:val="22"/>
          <w:szCs w:val="22"/>
          <w:u w:val="single"/>
        </w:rPr>
        <w:t>GlaxoSmithKline (ISRAEL) Ltd</w:t>
      </w:r>
      <w:r w:rsidR="00E04CAE" w:rsidRPr="003C4032">
        <w:rPr>
          <w:rFonts w:asciiTheme="minorBidi" w:hAnsiTheme="minorBidi" w:cstheme="minorBidi"/>
          <w:b/>
          <w:bCs/>
          <w:sz w:val="22"/>
          <w:szCs w:val="22"/>
        </w:rPr>
        <w:t xml:space="preserve"> : </w:t>
      </w:r>
    </w:p>
    <w:p w:rsidR="00964251" w:rsidRPr="003C4032" w:rsidRDefault="00964251" w:rsidP="003C4032">
      <w:pPr>
        <w:rPr>
          <w:rFonts w:asciiTheme="minorBidi" w:hAnsiTheme="minorBidi" w:cstheme="minorBidi"/>
          <w:color w:val="FF0000"/>
          <w:sz w:val="22"/>
          <w:szCs w:val="22"/>
          <w:rtl/>
        </w:rPr>
      </w:pPr>
    </w:p>
    <w:p w:rsidR="00F03688" w:rsidRPr="003C4032" w:rsidRDefault="00C02735" w:rsidP="003C4032">
      <w:pPr>
        <w:jc w:val="center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3C4032">
        <w:rPr>
          <w:rFonts w:asciiTheme="minorBidi" w:hAnsiTheme="minorBidi" w:cstheme="minorBidi"/>
          <w:color w:val="FF0000"/>
          <w:sz w:val="22"/>
          <w:szCs w:val="22"/>
          <w:rtl/>
        </w:rPr>
        <w:t>טופס זה מיועד לפרוט ההחמרות בלבד !</w:t>
      </w:r>
    </w:p>
    <w:p w:rsidR="00A9463E" w:rsidRPr="003C4032" w:rsidRDefault="00E04CAE" w:rsidP="003C4032">
      <w:pPr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  <w:t>בעלון לרופא</w:t>
      </w:r>
    </w:p>
    <w:tbl>
      <w:tblPr>
        <w:bidiVisual/>
        <w:tblW w:w="10207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28"/>
        <w:gridCol w:w="4453"/>
      </w:tblGrid>
      <w:tr w:rsidR="00A9463E" w:rsidRPr="003C4032" w:rsidTr="00B81471">
        <w:trPr>
          <w:cantSplit/>
        </w:trPr>
        <w:tc>
          <w:tcPr>
            <w:tcW w:w="10207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3315C3" w:rsidRPr="003C4032" w:rsidRDefault="003315C3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315C3" w:rsidRPr="003C4032" w:rsidRDefault="00A875C0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A9463E" w:rsidRPr="003C4032" w:rsidTr="00B81471">
        <w:tc>
          <w:tcPr>
            <w:tcW w:w="2126" w:type="dxa"/>
            <w:tcBorders>
              <w:top w:val="nil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9463E" w:rsidRPr="003C4032" w:rsidRDefault="00A9463E" w:rsidP="00B8147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פרק בעלון</w:t>
            </w:r>
          </w:p>
        </w:tc>
        <w:tc>
          <w:tcPr>
            <w:tcW w:w="3628" w:type="dxa"/>
            <w:tcBorders>
              <w:top w:val="nil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4453" w:type="dxa"/>
            <w:tcBorders>
              <w:top w:val="nil"/>
              <w:right w:val="single" w:sz="4" w:space="0" w:color="auto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A9463E" w:rsidRPr="003C4032" w:rsidTr="00B81471">
        <w:trPr>
          <w:trHeight w:val="558"/>
        </w:trPr>
        <w:tc>
          <w:tcPr>
            <w:tcW w:w="2126" w:type="dxa"/>
          </w:tcPr>
          <w:p w:rsidR="00112F2C" w:rsidRPr="003C4032" w:rsidRDefault="00112F2C" w:rsidP="003C4032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9463E" w:rsidRPr="003C4032" w:rsidRDefault="003315C3" w:rsidP="003C4032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</w:t>
            </w:r>
            <w:r w:rsidR="00015456" w:rsidRPr="003C403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ontraindications</w:t>
            </w:r>
          </w:p>
        </w:tc>
        <w:tc>
          <w:tcPr>
            <w:tcW w:w="3628" w:type="dxa"/>
          </w:tcPr>
          <w:p w:rsidR="00C6124B" w:rsidRPr="00392F59" w:rsidRDefault="00392F59" w:rsidP="00392F59">
            <w:pPr>
              <w:pStyle w:val="a6"/>
              <w:ind w:left="0"/>
              <w:rPr>
                <w:rFonts w:asciiTheme="minorBidi" w:hAnsiTheme="minorBidi" w:cstheme="minorBidi"/>
                <w:b/>
                <w:bCs/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Aciclovir</w:t>
            </w:r>
            <w:proofErr w:type="spellEnd"/>
            <w:r w:rsidRPr="00656241">
              <w:rPr>
                <w:szCs w:val="22"/>
              </w:rPr>
              <w:t xml:space="preserve"> I.V. </w:t>
            </w:r>
            <w:r>
              <w:rPr>
                <w:szCs w:val="22"/>
              </w:rPr>
              <w:t xml:space="preserve">for Infusion </w:t>
            </w:r>
            <w:r w:rsidRPr="00656241">
              <w:rPr>
                <w:szCs w:val="22"/>
              </w:rPr>
              <w:t xml:space="preserve">is contraindicated in patients known to be previously hypersensitive to </w:t>
            </w:r>
            <w:proofErr w:type="spellStart"/>
            <w:r w:rsidRPr="00656241">
              <w:rPr>
                <w:szCs w:val="22"/>
              </w:rPr>
              <w:t>aciclovir</w:t>
            </w:r>
            <w:proofErr w:type="spellEnd"/>
            <w:r w:rsidRPr="00656241">
              <w:rPr>
                <w:szCs w:val="22"/>
              </w:rPr>
              <w:t xml:space="preserve"> or </w:t>
            </w:r>
            <w:proofErr w:type="spellStart"/>
            <w:r w:rsidRPr="00656241">
              <w:rPr>
                <w:szCs w:val="22"/>
              </w:rPr>
              <w:t>valaciclovir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C6124B" w:rsidRPr="003C4032" w:rsidRDefault="00392F59" w:rsidP="00392F59">
            <w:pPr>
              <w:pStyle w:val="a6"/>
              <w:ind w:left="0"/>
              <w:rPr>
                <w:rFonts w:asciiTheme="minorBidi" w:hAnsiTheme="minorBidi" w:cstheme="minorBidi"/>
                <w:b/>
                <w:bCs/>
                <w:szCs w:val="22"/>
                <w:rtl/>
              </w:rPr>
            </w:pPr>
            <w:proofErr w:type="spellStart"/>
            <w:r w:rsidRPr="00656241">
              <w:rPr>
                <w:szCs w:val="22"/>
              </w:rPr>
              <w:t>Zovirax</w:t>
            </w:r>
            <w:proofErr w:type="spellEnd"/>
            <w:r w:rsidRPr="00656241">
              <w:rPr>
                <w:szCs w:val="22"/>
              </w:rPr>
              <w:t xml:space="preserve"> I.V. is contra-indicated in patients known to be previously hypersensitive to </w:t>
            </w:r>
            <w:proofErr w:type="spellStart"/>
            <w:r w:rsidRPr="00656241">
              <w:rPr>
                <w:szCs w:val="22"/>
              </w:rPr>
              <w:t>aciclovir</w:t>
            </w:r>
            <w:proofErr w:type="spellEnd"/>
            <w:r w:rsidRPr="00656241">
              <w:rPr>
                <w:szCs w:val="22"/>
              </w:rPr>
              <w:t xml:space="preserve"> or </w:t>
            </w:r>
            <w:proofErr w:type="spellStart"/>
            <w:r w:rsidRPr="00656241">
              <w:rPr>
                <w:szCs w:val="22"/>
              </w:rPr>
              <w:t>valaciclovir</w:t>
            </w:r>
            <w:proofErr w:type="spellEnd"/>
            <w:r w:rsidRPr="00656241">
              <w:rPr>
                <w:szCs w:val="22"/>
              </w:rPr>
              <w:t xml:space="preserve">, </w:t>
            </w:r>
            <w:r w:rsidRPr="00656241">
              <w:rPr>
                <w:szCs w:val="22"/>
                <w:highlight w:val="yellow"/>
              </w:rPr>
              <w:t>or to any of the excipients.</w:t>
            </w:r>
          </w:p>
        </w:tc>
      </w:tr>
      <w:tr w:rsidR="00847093" w:rsidRPr="003C4032" w:rsidTr="00B81471">
        <w:trPr>
          <w:trHeight w:val="512"/>
        </w:trPr>
        <w:tc>
          <w:tcPr>
            <w:tcW w:w="2126" w:type="dxa"/>
          </w:tcPr>
          <w:p w:rsidR="00847093" w:rsidRPr="003C4032" w:rsidRDefault="00A875C0" w:rsidP="003C4032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Special Warnings and Special Precautions for Use</w:t>
            </w:r>
          </w:p>
        </w:tc>
        <w:tc>
          <w:tcPr>
            <w:tcW w:w="3628" w:type="dxa"/>
          </w:tcPr>
          <w:p w:rsidR="00392F59" w:rsidRDefault="00392F59" w:rsidP="00392F59">
            <w:pPr>
              <w:bidi w:val="0"/>
              <w:rPr>
                <w:rFonts w:asciiTheme="majorBidi" w:hAnsiTheme="majorBidi" w:cstheme="majorBidi"/>
                <w:szCs w:val="22"/>
                <w:u w:val="single"/>
              </w:rPr>
            </w:pPr>
          </w:p>
          <w:p w:rsidR="00392F59" w:rsidRDefault="00392F59" w:rsidP="00392F59">
            <w:pPr>
              <w:bidi w:val="0"/>
              <w:rPr>
                <w:rFonts w:asciiTheme="majorBidi" w:hAnsiTheme="majorBidi" w:cstheme="majorBidi"/>
                <w:szCs w:val="22"/>
                <w:u w:val="single"/>
              </w:rPr>
            </w:pPr>
          </w:p>
          <w:p w:rsidR="00392F59" w:rsidRDefault="00392F59" w:rsidP="00392F59">
            <w:pPr>
              <w:bidi w:val="0"/>
              <w:rPr>
                <w:rFonts w:asciiTheme="majorBidi" w:hAnsiTheme="majorBidi" w:cstheme="majorBidi"/>
                <w:szCs w:val="22"/>
                <w:u w:val="single"/>
              </w:rPr>
            </w:pPr>
          </w:p>
          <w:p w:rsidR="00392F59" w:rsidRDefault="00392F59" w:rsidP="00392F59">
            <w:pPr>
              <w:bidi w:val="0"/>
              <w:rPr>
                <w:rFonts w:asciiTheme="majorBidi" w:hAnsiTheme="majorBidi" w:cstheme="majorBidi"/>
                <w:szCs w:val="22"/>
                <w:u w:val="single"/>
              </w:rPr>
            </w:pPr>
          </w:p>
          <w:p w:rsidR="00392F59" w:rsidRPr="00392F59" w:rsidRDefault="00392F59" w:rsidP="00392F59">
            <w:pPr>
              <w:bidi w:val="0"/>
              <w:rPr>
                <w:rFonts w:asciiTheme="majorBidi" w:hAnsiTheme="majorBidi" w:cstheme="majorBidi"/>
                <w:szCs w:val="22"/>
              </w:rPr>
            </w:pPr>
          </w:p>
          <w:p w:rsidR="00392F59" w:rsidRPr="00392F59" w:rsidRDefault="00392F59" w:rsidP="00392F59">
            <w:pPr>
              <w:bidi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392F59">
              <w:rPr>
                <w:rFonts w:asciiTheme="majorBidi" w:hAnsiTheme="majorBidi" w:cstheme="majorBidi"/>
                <w:szCs w:val="22"/>
              </w:rPr>
              <w:t>---------</w:t>
            </w:r>
          </w:p>
          <w:p w:rsidR="00392F59" w:rsidRDefault="00392F59" w:rsidP="00392F59">
            <w:pPr>
              <w:bidi w:val="0"/>
              <w:rPr>
                <w:rFonts w:asciiTheme="majorBidi" w:hAnsiTheme="majorBidi" w:cstheme="majorBidi"/>
                <w:szCs w:val="22"/>
                <w:u w:val="single"/>
              </w:rPr>
            </w:pPr>
          </w:p>
          <w:p w:rsidR="00392F59" w:rsidRDefault="00392F59" w:rsidP="00392F59">
            <w:pPr>
              <w:bidi w:val="0"/>
              <w:rPr>
                <w:rFonts w:asciiTheme="majorBidi" w:hAnsiTheme="majorBidi" w:cstheme="majorBidi"/>
                <w:szCs w:val="22"/>
                <w:u w:val="single"/>
              </w:rPr>
            </w:pPr>
          </w:p>
          <w:p w:rsidR="00392F59" w:rsidRDefault="00392F59" w:rsidP="00392F59">
            <w:pPr>
              <w:bidi w:val="0"/>
              <w:rPr>
                <w:rFonts w:asciiTheme="majorBidi" w:hAnsiTheme="majorBidi" w:cstheme="majorBidi"/>
                <w:szCs w:val="22"/>
                <w:u w:val="single"/>
              </w:rPr>
            </w:pPr>
          </w:p>
          <w:p w:rsidR="00392F59" w:rsidRDefault="00392F59" w:rsidP="00392F59">
            <w:pPr>
              <w:bidi w:val="0"/>
              <w:rPr>
                <w:rFonts w:asciiTheme="majorBidi" w:hAnsiTheme="majorBidi" w:cstheme="majorBidi"/>
                <w:szCs w:val="22"/>
                <w:u w:val="single"/>
              </w:rPr>
            </w:pPr>
          </w:p>
          <w:p w:rsidR="00392F59" w:rsidRPr="00392F59" w:rsidRDefault="00392F59" w:rsidP="00392F59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2F59" w:rsidRPr="00392F59" w:rsidRDefault="00392F59" w:rsidP="00392F59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2F59" w:rsidRDefault="00392F59" w:rsidP="00392F59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2F59" w:rsidRPr="007A3EA0" w:rsidRDefault="007A3EA0" w:rsidP="007A3EA0">
            <w:pPr>
              <w:bidi w:val="0"/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</w:pPr>
            <w:r w:rsidRPr="007A3EA0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>Formulation and strength</w:t>
            </w:r>
          </w:p>
          <w:p w:rsidR="007A3EA0" w:rsidRPr="00392F59" w:rsidRDefault="007A3EA0" w:rsidP="007A3EA0">
            <w:pPr>
              <w:bidi w:val="0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The sodium ion content is approximately 26 mg per vial.</w:t>
            </w:r>
          </w:p>
          <w:p w:rsidR="00847093" w:rsidRPr="00392F59" w:rsidRDefault="00847093" w:rsidP="00392F59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752F1F" w:rsidRPr="00752F1F" w:rsidRDefault="00752F1F" w:rsidP="00752F1F">
            <w:pPr>
              <w:bidi w:val="0"/>
              <w:rPr>
                <w:rFonts w:cs="Arial"/>
                <w:szCs w:val="22"/>
                <w:highlight w:val="yellow"/>
                <w:lang w:val="en-GB"/>
              </w:rPr>
            </w:pPr>
            <w:r w:rsidRPr="00752F1F">
              <w:rPr>
                <w:rFonts w:cs="Arial"/>
                <w:szCs w:val="22"/>
                <w:highlight w:val="yellow"/>
                <w:lang w:val="en-GB"/>
              </w:rPr>
              <w:t xml:space="preserve">Adequate hydration should be maintained in patients given </w:t>
            </w:r>
            <w:proofErr w:type="spellStart"/>
            <w:r w:rsidRPr="00752F1F">
              <w:rPr>
                <w:rFonts w:cs="Arial"/>
                <w:szCs w:val="22"/>
                <w:highlight w:val="yellow"/>
                <w:lang w:val="en-GB"/>
              </w:rPr>
              <w:t>i.v.</w:t>
            </w:r>
            <w:proofErr w:type="spellEnd"/>
            <w:r w:rsidRPr="00752F1F">
              <w:rPr>
                <w:rFonts w:cs="Arial"/>
                <w:szCs w:val="22"/>
                <w:highlight w:val="yellow"/>
                <w:lang w:val="en-GB"/>
              </w:rPr>
              <w:t xml:space="preserve"> or high oral doses of </w:t>
            </w:r>
            <w:proofErr w:type="spellStart"/>
            <w:r w:rsidRPr="00752F1F">
              <w:rPr>
                <w:rFonts w:cs="Arial"/>
                <w:szCs w:val="22"/>
                <w:highlight w:val="yellow"/>
                <w:lang w:val="en-GB"/>
              </w:rPr>
              <w:t>aciclovir</w:t>
            </w:r>
            <w:proofErr w:type="spellEnd"/>
            <w:r w:rsidRPr="00752F1F">
              <w:rPr>
                <w:rFonts w:cs="Arial"/>
                <w:szCs w:val="22"/>
                <w:highlight w:val="yellow"/>
                <w:lang w:val="en-GB"/>
              </w:rPr>
              <w:t xml:space="preserve">. </w:t>
            </w:r>
          </w:p>
          <w:p w:rsidR="00392F59" w:rsidRPr="00144B78" w:rsidRDefault="00392F59" w:rsidP="00392F59">
            <w:pPr>
              <w:bidi w:val="0"/>
              <w:rPr>
                <w:rFonts w:cs="Arial"/>
                <w:szCs w:val="22"/>
              </w:rPr>
            </w:pPr>
            <w:r w:rsidRPr="0041201B">
              <w:rPr>
                <w:rFonts w:cs="Arial"/>
                <w:szCs w:val="22"/>
                <w:highlight w:val="yellow"/>
              </w:rPr>
              <w:t xml:space="preserve">Intravenous doses should be given by infusion over one hour to avoid precipitation of </w:t>
            </w:r>
            <w:proofErr w:type="spellStart"/>
            <w:r w:rsidRPr="0041201B">
              <w:rPr>
                <w:rFonts w:cs="Arial"/>
                <w:szCs w:val="22"/>
                <w:highlight w:val="yellow"/>
              </w:rPr>
              <w:t>aciclovir</w:t>
            </w:r>
            <w:proofErr w:type="spellEnd"/>
            <w:r w:rsidRPr="0041201B">
              <w:rPr>
                <w:rFonts w:cs="Arial"/>
                <w:szCs w:val="22"/>
                <w:highlight w:val="yellow"/>
              </w:rPr>
              <w:t xml:space="preserve"> in the kidney; rapid or bolus injection should be avoided.</w:t>
            </w:r>
          </w:p>
          <w:p w:rsidR="00392F59" w:rsidRDefault="00392F59" w:rsidP="00392F59">
            <w:pPr>
              <w:bidi w:val="0"/>
              <w:rPr>
                <w:rFonts w:cs="Arial"/>
                <w:szCs w:val="22"/>
              </w:rPr>
            </w:pPr>
            <w:r w:rsidRPr="00D70F6B">
              <w:rPr>
                <w:rFonts w:cs="Arial"/>
                <w:szCs w:val="22"/>
                <w:highlight w:val="yellow"/>
              </w:rPr>
              <w:t xml:space="preserve">The risk of renal impairment is increased by use with other nephrotoxic drugs. Care is required if administering </w:t>
            </w:r>
            <w:proofErr w:type="spellStart"/>
            <w:r w:rsidRPr="00D70F6B">
              <w:rPr>
                <w:rFonts w:cs="Arial"/>
                <w:szCs w:val="22"/>
                <w:highlight w:val="yellow"/>
              </w:rPr>
              <w:t>i.v.</w:t>
            </w:r>
            <w:proofErr w:type="spellEnd"/>
            <w:r w:rsidRPr="00D70F6B">
              <w:rPr>
                <w:rFonts w:cs="Arial"/>
                <w:szCs w:val="22"/>
                <w:highlight w:val="yellow"/>
              </w:rPr>
              <w:t xml:space="preserve"> acyclovir with other nephrotoxic drugs.</w:t>
            </w:r>
            <w:r w:rsidRPr="00D70F6B">
              <w:rPr>
                <w:rFonts w:cs="Arial"/>
                <w:szCs w:val="22"/>
              </w:rPr>
              <w:t xml:space="preserve"> </w:t>
            </w:r>
          </w:p>
          <w:p w:rsidR="006813A9" w:rsidRDefault="006813A9" w:rsidP="00392F59">
            <w:pPr>
              <w:pStyle w:val="a6"/>
              <w:ind w:left="0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:rsidR="006813A9" w:rsidRPr="007A3EA0" w:rsidRDefault="006813A9" w:rsidP="006813A9">
            <w:pPr>
              <w:bidi w:val="0"/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</w:pPr>
            <w:r w:rsidRPr="007A3EA0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>Formulation and strength</w:t>
            </w:r>
          </w:p>
          <w:p w:rsidR="00847093" w:rsidRPr="00392F59" w:rsidRDefault="00392F59" w:rsidP="00392F59">
            <w:pPr>
              <w:pStyle w:val="a6"/>
              <w:ind w:left="0"/>
              <w:rPr>
                <w:rFonts w:asciiTheme="majorBidi" w:hAnsiTheme="majorBidi" w:cstheme="majorBidi"/>
                <w:szCs w:val="22"/>
                <w:rtl/>
              </w:rPr>
            </w:pPr>
            <w:r w:rsidRPr="007A3EA0">
              <w:rPr>
                <w:rFonts w:asciiTheme="majorBidi" w:hAnsiTheme="majorBidi" w:cstheme="majorBidi"/>
                <w:szCs w:val="22"/>
              </w:rPr>
              <w:t xml:space="preserve">This medicinal product contains 26mg, approx. 1,13mmol sodium per vial. </w:t>
            </w:r>
            <w:r w:rsidRPr="00560528">
              <w:rPr>
                <w:rFonts w:asciiTheme="majorBidi" w:hAnsiTheme="majorBidi" w:cstheme="majorBidi"/>
                <w:szCs w:val="22"/>
                <w:highlight w:val="yellow"/>
              </w:rPr>
              <w:t>To be taken into consideration by patients</w:t>
            </w:r>
            <w:r>
              <w:rPr>
                <w:rFonts w:asciiTheme="majorBidi" w:hAnsiTheme="majorBidi" w:cstheme="majorBidi"/>
                <w:szCs w:val="22"/>
                <w:highlight w:val="yellow"/>
              </w:rPr>
              <w:t xml:space="preserve"> </w:t>
            </w:r>
            <w:r w:rsidRPr="00560528">
              <w:rPr>
                <w:rFonts w:asciiTheme="majorBidi" w:hAnsiTheme="majorBidi" w:cstheme="majorBidi"/>
                <w:szCs w:val="22"/>
                <w:highlight w:val="yellow"/>
              </w:rPr>
              <w:t>on a contro</w:t>
            </w:r>
            <w:bookmarkStart w:id="0" w:name="_GoBack"/>
            <w:bookmarkEnd w:id="0"/>
            <w:r w:rsidRPr="00560528">
              <w:rPr>
                <w:rFonts w:asciiTheme="majorBidi" w:hAnsiTheme="majorBidi" w:cstheme="majorBidi"/>
                <w:szCs w:val="22"/>
                <w:highlight w:val="yellow"/>
              </w:rPr>
              <w:t>lled sodium diet.</w:t>
            </w:r>
          </w:p>
        </w:tc>
      </w:tr>
      <w:tr w:rsidR="00260355" w:rsidRPr="003C4032" w:rsidTr="00B81471">
        <w:tc>
          <w:tcPr>
            <w:tcW w:w="2126" w:type="dxa"/>
          </w:tcPr>
          <w:p w:rsidR="00260355" w:rsidRPr="003C4032" w:rsidRDefault="00A875C0" w:rsidP="003C4032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Interaction with Other Medicaments and Other Forms of Interaction</w:t>
            </w:r>
          </w:p>
        </w:tc>
        <w:tc>
          <w:tcPr>
            <w:tcW w:w="3628" w:type="dxa"/>
          </w:tcPr>
          <w:p w:rsidR="00392F59" w:rsidRDefault="00392F59" w:rsidP="003C4032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92F59" w:rsidRDefault="00392F59" w:rsidP="00392F59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2F59" w:rsidRPr="00392F59" w:rsidRDefault="00392F59" w:rsidP="00392F59">
            <w:pPr>
              <w:bidi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392F59">
              <w:rPr>
                <w:rFonts w:asciiTheme="majorBidi" w:hAnsiTheme="majorBidi" w:cstheme="majorBidi"/>
                <w:szCs w:val="22"/>
              </w:rPr>
              <w:t>---------</w:t>
            </w:r>
          </w:p>
          <w:p w:rsidR="00392F59" w:rsidRDefault="00392F59" w:rsidP="00392F59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2F59" w:rsidRPr="00392F59" w:rsidRDefault="00392F59" w:rsidP="00392F59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2F59" w:rsidRDefault="00392F59" w:rsidP="00392F59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260355" w:rsidRPr="00392F59" w:rsidRDefault="00392F59" w:rsidP="00392F59">
            <w:pPr>
              <w:bidi w:val="0"/>
              <w:jc w:val="center"/>
              <w:rPr>
                <w:rFonts w:asciiTheme="majorBidi" w:hAnsiTheme="majorBidi" w:cstheme="majorBidi"/>
                <w:szCs w:val="22"/>
                <w:rtl/>
              </w:rPr>
            </w:pPr>
            <w:r w:rsidRPr="00392F59">
              <w:rPr>
                <w:rFonts w:asciiTheme="majorBidi" w:hAnsiTheme="majorBidi" w:cstheme="majorBidi"/>
                <w:szCs w:val="22"/>
              </w:rPr>
              <w:t>---------</w:t>
            </w: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392F59" w:rsidRPr="00517202" w:rsidRDefault="00392F59" w:rsidP="00392F59">
            <w:pPr>
              <w:pStyle w:val="a6"/>
              <w:ind w:left="0"/>
              <w:rPr>
                <w:rFonts w:cs="Arial"/>
                <w:szCs w:val="22"/>
                <w:lang w:val="en-US"/>
              </w:rPr>
            </w:pPr>
            <w:r w:rsidRPr="0041201B">
              <w:rPr>
                <w:rFonts w:cs="Arial"/>
                <w:szCs w:val="22"/>
                <w:highlight w:val="yellow"/>
                <w:lang w:val="en-US"/>
              </w:rPr>
              <w:t xml:space="preserve">If </w:t>
            </w:r>
            <w:r w:rsidRPr="0041201B">
              <w:rPr>
                <w:rFonts w:cs="Arial"/>
                <w:b/>
                <w:szCs w:val="22"/>
                <w:highlight w:val="yellow"/>
                <w:lang w:val="en-US"/>
              </w:rPr>
              <w:t xml:space="preserve">lithium </w:t>
            </w:r>
            <w:r w:rsidRPr="0041201B">
              <w:rPr>
                <w:rFonts w:cs="Arial"/>
                <w:szCs w:val="22"/>
                <w:highlight w:val="yellow"/>
                <w:lang w:val="en-US"/>
              </w:rPr>
              <w:t xml:space="preserve">is administered concurrently with high dose </w:t>
            </w:r>
            <w:proofErr w:type="spellStart"/>
            <w:r w:rsidRPr="0041201B">
              <w:rPr>
                <w:rFonts w:cs="Arial"/>
                <w:szCs w:val="22"/>
                <w:highlight w:val="yellow"/>
                <w:lang w:val="en-US"/>
              </w:rPr>
              <w:t>aciclovir</w:t>
            </w:r>
            <w:proofErr w:type="spellEnd"/>
            <w:r w:rsidRPr="0041201B">
              <w:rPr>
                <w:rFonts w:cs="Arial"/>
                <w:szCs w:val="22"/>
                <w:highlight w:val="yellow"/>
                <w:lang w:val="en-US"/>
              </w:rPr>
              <w:t xml:space="preserve"> IV, the lithium serum concentration should be closely monitored because of the risk of lithium toxicity.</w:t>
            </w:r>
          </w:p>
          <w:p w:rsidR="00F82F1A" w:rsidRPr="00392F59" w:rsidRDefault="00392F59" w:rsidP="00392F59">
            <w:pPr>
              <w:pStyle w:val="a6"/>
              <w:ind w:left="0"/>
              <w:rPr>
                <w:rtl/>
              </w:rPr>
            </w:pPr>
            <w:r w:rsidRPr="0041201B">
              <w:rPr>
                <w:rFonts w:cs="Arial"/>
                <w:szCs w:val="22"/>
                <w:highlight w:val="yellow"/>
                <w:lang w:val="en-US"/>
              </w:rPr>
              <w:t xml:space="preserve">An experimental study on five male subjects indicates that concomitant therapy with </w:t>
            </w:r>
            <w:proofErr w:type="spellStart"/>
            <w:r w:rsidRPr="0041201B">
              <w:rPr>
                <w:rFonts w:cs="Arial"/>
                <w:szCs w:val="22"/>
                <w:highlight w:val="yellow"/>
                <w:lang w:val="en-US"/>
              </w:rPr>
              <w:t>aciclovir</w:t>
            </w:r>
            <w:proofErr w:type="spellEnd"/>
            <w:r w:rsidRPr="0041201B">
              <w:rPr>
                <w:rFonts w:cs="Arial"/>
                <w:szCs w:val="22"/>
                <w:highlight w:val="yellow"/>
                <w:lang w:val="en-US"/>
              </w:rPr>
              <w:t xml:space="preserve"> increases AUC of totally administered </w:t>
            </w:r>
            <w:r w:rsidRPr="0041201B">
              <w:rPr>
                <w:rFonts w:cs="Arial"/>
                <w:b/>
                <w:szCs w:val="22"/>
                <w:highlight w:val="yellow"/>
                <w:lang w:val="en-US"/>
              </w:rPr>
              <w:t>theophylline</w:t>
            </w:r>
            <w:r w:rsidRPr="0041201B">
              <w:rPr>
                <w:rFonts w:cs="Arial"/>
                <w:szCs w:val="22"/>
                <w:highlight w:val="yellow"/>
                <w:lang w:val="en-US"/>
              </w:rPr>
              <w:t xml:space="preserve"> with approximately 50%. It is recommended to measure plasma concentrations during concomitant therapy with </w:t>
            </w:r>
            <w:proofErr w:type="spellStart"/>
            <w:r w:rsidRPr="0041201B">
              <w:rPr>
                <w:rFonts w:cs="Arial"/>
                <w:szCs w:val="22"/>
                <w:highlight w:val="yellow"/>
                <w:lang w:val="en-US"/>
              </w:rPr>
              <w:t>aciclovir</w:t>
            </w:r>
            <w:proofErr w:type="spellEnd"/>
            <w:r w:rsidRPr="0041201B">
              <w:rPr>
                <w:rFonts w:cs="Arial"/>
                <w:szCs w:val="22"/>
                <w:highlight w:val="yellow"/>
                <w:lang w:val="en-US"/>
              </w:rPr>
              <w:t>.</w:t>
            </w:r>
          </w:p>
        </w:tc>
      </w:tr>
      <w:tr w:rsidR="00C6124B" w:rsidRPr="003C4032" w:rsidTr="00B81471">
        <w:tc>
          <w:tcPr>
            <w:tcW w:w="2126" w:type="dxa"/>
          </w:tcPr>
          <w:p w:rsidR="00C6124B" w:rsidRPr="003C4032" w:rsidRDefault="00015456" w:rsidP="003C4032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Adverse events</w:t>
            </w:r>
          </w:p>
        </w:tc>
        <w:tc>
          <w:tcPr>
            <w:tcW w:w="3628" w:type="dxa"/>
          </w:tcPr>
          <w:p w:rsidR="00DA482E" w:rsidRPr="00582309" w:rsidRDefault="00DA482E" w:rsidP="00DA482E">
            <w:pPr>
              <w:pStyle w:val="a6"/>
              <w:ind w:left="0"/>
              <w:rPr>
                <w:szCs w:val="22"/>
              </w:rPr>
            </w:pPr>
            <w:r w:rsidRPr="00582309">
              <w:rPr>
                <w:szCs w:val="22"/>
              </w:rPr>
              <w:t>Very rare: renal impairment, acute renal failure and renal pain.</w:t>
            </w:r>
          </w:p>
          <w:p w:rsidR="00C6124B" w:rsidRPr="00DA482E" w:rsidRDefault="00DA482E" w:rsidP="003C403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82309">
              <w:rPr>
                <w:szCs w:val="22"/>
              </w:rPr>
              <w:t>Renal pain may be associated with renal failure</w:t>
            </w:r>
          </w:p>
        </w:tc>
        <w:tc>
          <w:tcPr>
            <w:tcW w:w="4453" w:type="dxa"/>
            <w:tcBorders>
              <w:right w:val="single" w:sz="4" w:space="0" w:color="auto"/>
            </w:tcBorders>
          </w:tcPr>
          <w:p w:rsidR="00DA482E" w:rsidRPr="00582309" w:rsidRDefault="00DA482E" w:rsidP="00DA482E">
            <w:pPr>
              <w:pStyle w:val="a6"/>
              <w:ind w:left="0"/>
              <w:rPr>
                <w:szCs w:val="22"/>
              </w:rPr>
            </w:pPr>
            <w:r w:rsidRPr="00582309">
              <w:rPr>
                <w:szCs w:val="22"/>
              </w:rPr>
              <w:t>Very rare: renal impairment, acute renal failure and renal pain.</w:t>
            </w:r>
          </w:p>
          <w:p w:rsidR="00112F2C" w:rsidRPr="00392F59" w:rsidRDefault="00392F59" w:rsidP="00392F59">
            <w:pPr>
              <w:pStyle w:val="a6"/>
              <w:ind w:left="0"/>
              <w:rPr>
                <w:snapToGrid w:val="0"/>
                <w:szCs w:val="22"/>
                <w:rtl/>
              </w:rPr>
            </w:pPr>
            <w:r w:rsidRPr="00582309">
              <w:rPr>
                <w:szCs w:val="22"/>
              </w:rPr>
              <w:t xml:space="preserve">Renal pain may be associated with renal failure and </w:t>
            </w:r>
            <w:proofErr w:type="spellStart"/>
            <w:r w:rsidRPr="00DC1FEA">
              <w:rPr>
                <w:szCs w:val="22"/>
                <w:highlight w:val="yellow"/>
              </w:rPr>
              <w:t>crystalluria</w:t>
            </w:r>
            <w:proofErr w:type="spellEnd"/>
            <w:r w:rsidRPr="00DC1FEA">
              <w:rPr>
                <w:szCs w:val="22"/>
              </w:rPr>
              <w:t>.</w:t>
            </w:r>
          </w:p>
        </w:tc>
      </w:tr>
    </w:tbl>
    <w:p w:rsidR="00F82F1A" w:rsidRPr="003C4032" w:rsidRDefault="00F82F1A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315C3" w:rsidRPr="003C4032" w:rsidRDefault="003315C3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מצ"ב העלון, שבו מסומנות ההחמרות המבוקשות  </w:t>
      </w:r>
      <w:r w:rsidRPr="003C4032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על רקע צהוב.</w:t>
      </w:r>
    </w:p>
    <w:p w:rsidR="003315C3" w:rsidRPr="003C4032" w:rsidRDefault="003315C3" w:rsidP="003C4032">
      <w:pPr>
        <w:rPr>
          <w:rFonts w:asciiTheme="minorBidi" w:hAnsiTheme="minorBidi" w:cstheme="minorBidi"/>
          <w:sz w:val="22"/>
          <w:szCs w:val="22"/>
          <w:rtl/>
        </w:rPr>
      </w:pPr>
      <w:r w:rsidRPr="003C4032">
        <w:rPr>
          <w:rFonts w:asciiTheme="minorBidi" w:hAnsiTheme="minorBidi" w:cstheme="minorBidi"/>
          <w:sz w:val="22"/>
          <w:szCs w:val="22"/>
          <w:rtl/>
        </w:rPr>
        <w:t xml:space="preserve">שינויים שאינם בגדר החמרות סומנו (בעלון) בצבע </w:t>
      </w:r>
      <w:r w:rsidRPr="003C4032">
        <w:rPr>
          <w:rFonts w:asciiTheme="minorBidi" w:hAnsiTheme="minorBidi" w:cstheme="minorBidi"/>
          <w:color w:val="00B050"/>
          <w:sz w:val="22"/>
          <w:szCs w:val="22"/>
          <w:rtl/>
        </w:rPr>
        <w:t>ירוק</w:t>
      </w:r>
      <w:r w:rsidRPr="003C4032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3315C3" w:rsidRPr="003C4032" w:rsidRDefault="006813A9" w:rsidP="003C4032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.35pt;margin-top:4.75pt;width:440.8pt;height:0;flip:x;z-index:251658240" o:connectortype="straight">
            <w10:wrap anchorx="page"/>
          </v:shape>
        </w:pict>
      </w:r>
    </w:p>
    <w:p w:rsidR="003315C3" w:rsidRPr="003C4032" w:rsidRDefault="003315C3" w:rsidP="003C4032">
      <w:pPr>
        <w:rPr>
          <w:rFonts w:asciiTheme="minorBidi" w:hAnsiTheme="minorBidi" w:cstheme="minorBidi"/>
          <w:sz w:val="22"/>
          <w:szCs w:val="22"/>
          <w:rtl/>
        </w:rPr>
      </w:pPr>
    </w:p>
    <w:p w:rsidR="003C4032" w:rsidRPr="003C4032" w:rsidRDefault="006813A9" w:rsidP="003C4032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pict>
          <v:shape id="_x0000_s1030" type="#_x0000_t32" style="position:absolute;left:0;text-align:left;margin-left:34.35pt;margin-top:24.05pt;width:440.8pt;height:.75pt;flip:x y;z-index:251661312" o:connectortype="straight" strokeweight="2.75pt">
            <v:stroke dashstyle="1 1"/>
            <w10:wrap anchorx="page"/>
          </v:shape>
        </w:pict>
      </w:r>
    </w:p>
    <w:sectPr w:rsidR="003C4032" w:rsidRPr="003C4032" w:rsidSect="003315C3">
      <w:pgSz w:w="11906" w:h="16838"/>
      <w:pgMar w:top="567" w:right="1274" w:bottom="851" w:left="1134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454E26"/>
    <w:multiLevelType w:val="hybridMultilevel"/>
    <w:tmpl w:val="9D2E6784"/>
    <w:lvl w:ilvl="0" w:tplc="534E47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613B5"/>
    <w:rsid w:val="00007EC8"/>
    <w:rsid w:val="00015456"/>
    <w:rsid w:val="000356F8"/>
    <w:rsid w:val="00112F2C"/>
    <w:rsid w:val="001543B4"/>
    <w:rsid w:val="001658AE"/>
    <w:rsid w:val="001F7182"/>
    <w:rsid w:val="00236AB9"/>
    <w:rsid w:val="00260355"/>
    <w:rsid w:val="00274849"/>
    <w:rsid w:val="002F3ABE"/>
    <w:rsid w:val="00300616"/>
    <w:rsid w:val="003315C3"/>
    <w:rsid w:val="00352380"/>
    <w:rsid w:val="00357B4F"/>
    <w:rsid w:val="0036025C"/>
    <w:rsid w:val="00380A93"/>
    <w:rsid w:val="00383654"/>
    <w:rsid w:val="00392F59"/>
    <w:rsid w:val="003C1B4C"/>
    <w:rsid w:val="003C4032"/>
    <w:rsid w:val="00410789"/>
    <w:rsid w:val="004365D2"/>
    <w:rsid w:val="004A042F"/>
    <w:rsid w:val="004D43B6"/>
    <w:rsid w:val="004E3DBF"/>
    <w:rsid w:val="00553975"/>
    <w:rsid w:val="00555195"/>
    <w:rsid w:val="005A74A6"/>
    <w:rsid w:val="005D6B6C"/>
    <w:rsid w:val="0061272F"/>
    <w:rsid w:val="00635CF8"/>
    <w:rsid w:val="00646D22"/>
    <w:rsid w:val="00651378"/>
    <w:rsid w:val="006813A9"/>
    <w:rsid w:val="0068302D"/>
    <w:rsid w:val="00687E7A"/>
    <w:rsid w:val="006E29B2"/>
    <w:rsid w:val="00717E56"/>
    <w:rsid w:val="00721F01"/>
    <w:rsid w:val="00730EF5"/>
    <w:rsid w:val="00732AAC"/>
    <w:rsid w:val="007353E3"/>
    <w:rsid w:val="00752F1F"/>
    <w:rsid w:val="007A3EA0"/>
    <w:rsid w:val="007B3181"/>
    <w:rsid w:val="007F1DF9"/>
    <w:rsid w:val="008102AD"/>
    <w:rsid w:val="00811EB0"/>
    <w:rsid w:val="00812962"/>
    <w:rsid w:val="00847093"/>
    <w:rsid w:val="0085081E"/>
    <w:rsid w:val="00862524"/>
    <w:rsid w:val="00865D86"/>
    <w:rsid w:val="00873AEB"/>
    <w:rsid w:val="00887FF4"/>
    <w:rsid w:val="008C34BA"/>
    <w:rsid w:val="008E3033"/>
    <w:rsid w:val="00916F42"/>
    <w:rsid w:val="00955F40"/>
    <w:rsid w:val="00964251"/>
    <w:rsid w:val="00964A41"/>
    <w:rsid w:val="00973177"/>
    <w:rsid w:val="00973F87"/>
    <w:rsid w:val="00990E51"/>
    <w:rsid w:val="009C4729"/>
    <w:rsid w:val="009C4FA9"/>
    <w:rsid w:val="009D7361"/>
    <w:rsid w:val="00A21804"/>
    <w:rsid w:val="00A46AAB"/>
    <w:rsid w:val="00A801D5"/>
    <w:rsid w:val="00A875C0"/>
    <w:rsid w:val="00A9463E"/>
    <w:rsid w:val="00A955E8"/>
    <w:rsid w:val="00AA273E"/>
    <w:rsid w:val="00AB3445"/>
    <w:rsid w:val="00B5004E"/>
    <w:rsid w:val="00B63C52"/>
    <w:rsid w:val="00B7544B"/>
    <w:rsid w:val="00B757C7"/>
    <w:rsid w:val="00B81471"/>
    <w:rsid w:val="00BD5E84"/>
    <w:rsid w:val="00C02735"/>
    <w:rsid w:val="00C6124B"/>
    <w:rsid w:val="00C702AA"/>
    <w:rsid w:val="00CA59B7"/>
    <w:rsid w:val="00CC2F2F"/>
    <w:rsid w:val="00CE2209"/>
    <w:rsid w:val="00CE58E7"/>
    <w:rsid w:val="00D613B5"/>
    <w:rsid w:val="00DA1744"/>
    <w:rsid w:val="00DA482E"/>
    <w:rsid w:val="00DD036A"/>
    <w:rsid w:val="00DE1C76"/>
    <w:rsid w:val="00E04CAE"/>
    <w:rsid w:val="00E13D2C"/>
    <w:rsid w:val="00E41CF3"/>
    <w:rsid w:val="00EA6E38"/>
    <w:rsid w:val="00EB1F52"/>
    <w:rsid w:val="00EE3F64"/>
    <w:rsid w:val="00EF09EC"/>
    <w:rsid w:val="00F03688"/>
    <w:rsid w:val="00F043DF"/>
    <w:rsid w:val="00F8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315C3"/>
    <w:pPr>
      <w:ind w:left="720"/>
      <w:contextualSpacing/>
    </w:pPr>
  </w:style>
  <w:style w:type="paragraph" w:styleId="a6">
    <w:name w:val="Normal Indent"/>
    <w:basedOn w:val="a"/>
    <w:rsid w:val="00392F59"/>
    <w:pPr>
      <w:bidi w:val="0"/>
      <w:spacing w:after="120"/>
      <w:ind w:left="720"/>
    </w:pPr>
    <w:rPr>
      <w:rFonts w:cs="Times New Roman"/>
      <w:sz w:val="22"/>
      <w:szCs w:val="20"/>
      <w:lang w:val="en-GB" w:eastAsia="en-GB" w:bidi="ar-SA"/>
    </w:rPr>
  </w:style>
  <w:style w:type="character" w:styleId="a7">
    <w:name w:val="annotation reference"/>
    <w:basedOn w:val="a0"/>
    <w:uiPriority w:val="99"/>
    <w:semiHidden/>
    <w:unhideWhenUsed/>
    <w:rsid w:val="00392F5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92F59"/>
    <w:pPr>
      <w:bidi w:val="0"/>
      <w:spacing w:after="120"/>
    </w:pPr>
    <w:rPr>
      <w:rFonts w:cs="Times New Roman"/>
      <w:sz w:val="20"/>
      <w:szCs w:val="20"/>
      <w:lang w:val="en-GB" w:eastAsia="en-GB" w:bidi="ar-SA"/>
    </w:rPr>
  </w:style>
  <w:style w:type="character" w:customStyle="1" w:styleId="a9">
    <w:name w:val="טקסט הערה תו"/>
    <w:basedOn w:val="a0"/>
    <w:link w:val="a8"/>
    <w:uiPriority w:val="99"/>
    <w:rsid w:val="00392F59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164489916</AutoNumber>
    <REQUESTNUMBER xmlns="43f5c83f-d7ad-4276-a107-8019a824ecd5">99276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103830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_</UCOMMENTS>
    <OWNER xmlns="43f5c83f-d7ad-4276-a107-8019a824ecd5">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305</SAPNAME>
    <SDDocumentSource xmlns="43f5c83f-d7ad-4276-a107-8019a824ecd5" xsi:nil="true"/>
    <SDImportance xmlns="43f5c83f-d7ad-4276-a107-8019a824ecd5" xsi:nil="true"/>
    <REGISTRATIONNUMBER xmlns="43f5c83f-d7ad-4276-a107-8019a824ecd5">2197605</REGISTRATIONNUMBER>
    <SDCategories xmlns="43f5c83f-d7ad-4276-a107-8019a824ecd5" xsi:nil="true"/>
    <SDDocDate xmlns="43f5c83f-d7ad-4276-a107-8019a824ecd5">1903-03-03T06:00:01+00:00</SDDocDate>
    <DRAGOBJID xmlns="43f5c83f-d7ad-4276-a107-8019a824ecd5">2197605</DRAGOBJID>
    <mossuploaddate xmlns="43f5c83f-d7ad-4276-a107-8019a824ecd5">2014-11-12 13:10:58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2C81A373-11C1-4211-8DF5-0125774448B1}"/>
</file>

<file path=customXml/itemProps2.xml><?xml version="1.0" encoding="utf-8"?>
<ds:datastoreItem xmlns:ds="http://schemas.openxmlformats.org/officeDocument/2006/customXml" ds:itemID="{85C354EC-A4B1-4D0B-B2D9-79E81B353F16}"/>
</file>

<file path=customXml/itemProps3.xml><?xml version="1.0" encoding="utf-8"?>
<ds:datastoreItem xmlns:ds="http://schemas.openxmlformats.org/officeDocument/2006/customXml" ds:itemID="{079AECA1-DAFE-4AA0-8541-BAF6A39F6115}"/>
</file>

<file path=customXml/itemProps4.xml><?xml version="1.0" encoding="utf-8"?>
<ds:datastoreItem xmlns:ds="http://schemas.openxmlformats.org/officeDocument/2006/customXml" ds:itemID="{8C5194D6-DAEE-4114-AE5E-F9DE566F6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Zovirax_IV_worsening_11.2014.docx</dc:title>
  <dc:creator>hy47755</dc:creator>
  <cp:lastModifiedBy>מיכל בן ליש</cp:lastModifiedBy>
  <cp:revision>8</cp:revision>
  <cp:lastPrinted>2014-10-27T08:43:00Z</cp:lastPrinted>
  <dcterms:created xsi:type="dcterms:W3CDTF">2014-10-27T07:44:00Z</dcterms:created>
  <dcterms:modified xsi:type="dcterms:W3CDTF">2014-11-12T11:09:00Z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