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62" w:rsidRPr="003C4032" w:rsidRDefault="00A9463E" w:rsidP="003C4032">
      <w:pPr>
        <w:pStyle w:val="Heading1"/>
        <w:rPr>
          <w:rFonts w:asciiTheme="minorBidi" w:hAnsiTheme="minorBidi" w:cstheme="minorBidi"/>
          <w:b w:val="0"/>
          <w:bCs w:val="0"/>
          <w:emboss/>
          <w:color w:val="C0C0C0"/>
          <w:sz w:val="32"/>
          <w:szCs w:val="32"/>
          <w:u w:val="none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>הודעה על החמרה  ( מידע בטיחות)  בעלון ל</w:t>
      </w:r>
      <w:r w:rsidR="00015456"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>רופא</w:t>
      </w:r>
      <w:r w:rsidR="00E41CF3"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 xml:space="preserve"> </w:t>
      </w:r>
    </w:p>
    <w:p w:rsidR="00A9463E" w:rsidRPr="003C4032" w:rsidRDefault="00E41CF3" w:rsidP="003C4032">
      <w:pPr>
        <w:pStyle w:val="Heading1"/>
        <w:rPr>
          <w:rFonts w:asciiTheme="minorBidi" w:hAnsiTheme="minorBidi" w:cstheme="minorBidi"/>
          <w:emboss/>
          <w:color w:val="C0C0C0"/>
          <w:sz w:val="24"/>
          <w:szCs w:val="24"/>
          <w:u w:val="none"/>
          <w:shd w:val="clear" w:color="auto" w:fill="000000"/>
          <w:rtl/>
        </w:rPr>
      </w:pPr>
      <w:r w:rsidRPr="003C4032">
        <w:rPr>
          <w:rFonts w:asciiTheme="minorBidi" w:hAnsiTheme="minorBidi" w:cstheme="minorBidi"/>
          <w:b w:val="0"/>
          <w:bCs w:val="0"/>
          <w:emboss/>
          <w:color w:val="C0C0C0"/>
          <w:sz w:val="24"/>
          <w:szCs w:val="24"/>
          <w:u w:val="none"/>
          <w:shd w:val="clear" w:color="auto" w:fill="000000"/>
          <w:rtl/>
        </w:rPr>
        <w:t>(מעודכן 05.2013)</w:t>
      </w:r>
      <w:r w:rsidR="00A9463E" w:rsidRPr="003C4032">
        <w:rPr>
          <w:rFonts w:asciiTheme="minorBidi" w:hAnsiTheme="minorBidi" w:cstheme="minorBidi"/>
          <w:emboss/>
          <w:color w:val="C0C0C0"/>
          <w:sz w:val="24"/>
          <w:szCs w:val="24"/>
          <w:u w:val="none"/>
          <w:shd w:val="clear" w:color="auto" w:fill="000000"/>
          <w:rtl/>
        </w:rPr>
        <w:t xml:space="preserve"> </w:t>
      </w:r>
    </w:p>
    <w:p w:rsidR="003C4032" w:rsidRPr="003C4032" w:rsidRDefault="003C4032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9463E" w:rsidRPr="003C4032" w:rsidRDefault="00A9463E" w:rsidP="001C4B5B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תאריך </w:t>
      </w:r>
      <w:r w:rsidR="001C4B5B" w:rsidRPr="001C4B5B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07.2014</w:t>
      </w:r>
    </w:p>
    <w:p w:rsidR="00A9463E" w:rsidRPr="001C4B5B" w:rsidRDefault="00A9463E" w:rsidP="001C4B5B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>שם תכשיר באנגלית</w:t>
      </w:r>
      <w:r w:rsidR="00410789"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ומספר הריש</w:t>
      </w:r>
      <w:r w:rsidR="001C4B5B" w:rsidRPr="001C4B5B">
        <w:rPr>
          <w:rFonts w:asciiTheme="minorBidi" w:hAnsiTheme="minorBidi" w:cstheme="minorBidi" w:hint="cs"/>
          <w:b/>
          <w:bCs/>
          <w:sz w:val="22"/>
          <w:szCs w:val="22"/>
          <w:rtl/>
        </w:rPr>
        <w:t>ום</w:t>
      </w:r>
      <w:r w:rsidR="001C4B5B"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  <w:r w:rsidR="001C4B5B">
        <w:rPr>
          <w:rFonts w:asciiTheme="minorBidi" w:hAnsiTheme="minorBidi" w:cstheme="minorBidi"/>
          <w:b/>
          <w:bCs/>
          <w:sz w:val="22"/>
          <w:szCs w:val="22"/>
          <w:rtl/>
        </w:rPr>
        <w:br/>
      </w:r>
      <w:r w:rsidR="001C4B5B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proofErr w:type="spellStart"/>
      <w:r w:rsidR="001C4B5B">
        <w:rPr>
          <w:rFonts w:asciiTheme="minorBidi" w:hAnsiTheme="minorBidi" w:cstheme="minorBidi"/>
          <w:b/>
          <w:bCs/>
          <w:sz w:val="22"/>
          <w:szCs w:val="22"/>
          <w:u w:val="single"/>
        </w:rPr>
        <w:t>Arzerra</w:t>
      </w:r>
      <w:proofErr w:type="spellEnd"/>
      <w:r w:rsidR="001C4B5B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100mg, </w:t>
      </w:r>
      <w:proofErr w:type="spellStart"/>
      <w:r w:rsidR="001C4B5B">
        <w:rPr>
          <w:rFonts w:asciiTheme="minorBidi" w:hAnsiTheme="minorBidi" w:cstheme="minorBidi"/>
          <w:b/>
          <w:bCs/>
          <w:sz w:val="22"/>
          <w:szCs w:val="22"/>
          <w:u w:val="single"/>
        </w:rPr>
        <w:t>Arzerra</w:t>
      </w:r>
      <w:proofErr w:type="spellEnd"/>
      <w:r w:rsidR="001C4B5B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1000mg (148-72-33501, 148-71</w:t>
      </w:r>
      <w:r w:rsidR="001C4B5B" w:rsidRPr="001C4B5B">
        <w:rPr>
          <w:rFonts w:asciiTheme="minorBidi" w:hAnsiTheme="minorBidi" w:cstheme="minorBidi"/>
          <w:b/>
          <w:bCs/>
          <w:sz w:val="22"/>
          <w:szCs w:val="22"/>
          <w:u w:val="single"/>
        </w:rPr>
        <w:t>-33508</w:t>
      </w:r>
      <w:r w:rsidR="001C4B5B" w:rsidRPr="001C4B5B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1C4B5B" w:rsidRPr="001C4B5B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:rsidR="00EE3F64" w:rsidRDefault="00EF09EC" w:rsidP="001C4B5B">
      <w:pPr>
        <w:spacing w:line="360" w:lineRule="auto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>שם בעל הרישום</w:t>
      </w:r>
      <w:r w:rsidR="00DA1744"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E04CAE" w:rsidRPr="003C4032">
        <w:rPr>
          <w:rFonts w:asciiTheme="minorBidi" w:hAnsiTheme="minorBidi" w:cstheme="minorBidi"/>
          <w:b/>
          <w:bCs/>
          <w:sz w:val="22"/>
          <w:szCs w:val="22"/>
          <w:u w:val="single"/>
        </w:rPr>
        <w:t>GlaxoSmithKline (ISRAEL) Ltd</w:t>
      </w:r>
      <w:r w:rsidR="00E04CAE" w:rsidRPr="003C4032">
        <w:rPr>
          <w:rFonts w:asciiTheme="minorBidi" w:hAnsiTheme="minorBidi" w:cstheme="minorBidi"/>
          <w:b/>
          <w:bCs/>
          <w:sz w:val="22"/>
          <w:szCs w:val="22"/>
        </w:rPr>
        <w:t xml:space="preserve"> : </w:t>
      </w:r>
    </w:p>
    <w:p w:rsidR="00964251" w:rsidRPr="003C4032" w:rsidRDefault="00964251" w:rsidP="003C4032">
      <w:pPr>
        <w:rPr>
          <w:rFonts w:asciiTheme="minorBidi" w:hAnsiTheme="minorBidi" w:cstheme="minorBidi"/>
          <w:color w:val="FF0000"/>
          <w:sz w:val="22"/>
          <w:szCs w:val="22"/>
          <w:rtl/>
        </w:rPr>
      </w:pPr>
    </w:p>
    <w:p w:rsidR="00F03688" w:rsidRPr="003C4032" w:rsidRDefault="00C02735" w:rsidP="003C4032">
      <w:pPr>
        <w:jc w:val="center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3C4032">
        <w:rPr>
          <w:rFonts w:asciiTheme="minorBidi" w:hAnsiTheme="minorBidi" w:cstheme="minorBidi"/>
          <w:color w:val="FF0000"/>
          <w:sz w:val="22"/>
          <w:szCs w:val="22"/>
          <w:rtl/>
        </w:rPr>
        <w:t>טופס זה מיועד לפרוט ההחמרות בלבד !</w:t>
      </w:r>
    </w:p>
    <w:p w:rsidR="00A9463E" w:rsidRPr="003C4032" w:rsidRDefault="00E04CAE" w:rsidP="003C4032">
      <w:pPr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  <w:t>בעלון לרופא</w:t>
      </w:r>
    </w:p>
    <w:tbl>
      <w:tblPr>
        <w:bidiVisual/>
        <w:tblW w:w="978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3061"/>
        <w:gridCol w:w="4311"/>
      </w:tblGrid>
      <w:tr w:rsidR="00A9463E" w:rsidRPr="003C4032" w:rsidTr="002F130D">
        <w:trPr>
          <w:cantSplit/>
        </w:trPr>
        <w:tc>
          <w:tcPr>
            <w:tcW w:w="9783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3315C3" w:rsidRPr="003C4032" w:rsidRDefault="003315C3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315C3" w:rsidRPr="003C4032" w:rsidRDefault="00A875C0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ההחמרות המבוקשות</w:t>
            </w:r>
          </w:p>
        </w:tc>
      </w:tr>
      <w:tr w:rsidR="00A9463E" w:rsidRPr="003C4032" w:rsidTr="00C3396E">
        <w:tc>
          <w:tcPr>
            <w:tcW w:w="2411" w:type="dxa"/>
            <w:tcBorders>
              <w:top w:val="nil"/>
            </w:tcBorders>
          </w:tcPr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פרק בעלון</w:t>
            </w:r>
          </w:p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נוכחי</w:t>
            </w:r>
          </w:p>
        </w:tc>
        <w:tc>
          <w:tcPr>
            <w:tcW w:w="4311" w:type="dxa"/>
            <w:tcBorders>
              <w:top w:val="nil"/>
              <w:right w:val="single" w:sz="4" w:space="0" w:color="auto"/>
            </w:tcBorders>
          </w:tcPr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חדש</w:t>
            </w:r>
          </w:p>
        </w:tc>
      </w:tr>
      <w:tr w:rsidR="00A875C0" w:rsidRPr="003C4032" w:rsidTr="00C3396E">
        <w:trPr>
          <w:trHeight w:val="1719"/>
        </w:trPr>
        <w:tc>
          <w:tcPr>
            <w:tcW w:w="2411" w:type="dxa"/>
          </w:tcPr>
          <w:p w:rsidR="00A875C0" w:rsidRPr="001C4B5B" w:rsidRDefault="001C4B5B" w:rsidP="003C4032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C4B5B">
              <w:rPr>
                <w:b/>
                <w:noProof/>
                <w:sz w:val="22"/>
                <w:szCs w:val="22"/>
              </w:rPr>
              <w:t>Posology and method of administration</w:t>
            </w:r>
            <w:r w:rsidRPr="001C4B5B">
              <w:rPr>
                <w:b/>
                <w:noProof/>
                <w:sz w:val="22"/>
                <w:szCs w:val="22"/>
              </w:rPr>
              <w:br/>
            </w:r>
          </w:p>
        </w:tc>
        <w:tc>
          <w:tcPr>
            <w:tcW w:w="3061" w:type="dxa"/>
            <w:vAlign w:val="center"/>
          </w:tcPr>
          <w:p w:rsidR="00A875C0" w:rsidRPr="001C4B5B" w:rsidRDefault="001C4B5B" w:rsidP="001C4B5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4B5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311" w:type="dxa"/>
            <w:tcBorders>
              <w:right w:val="single" w:sz="4" w:space="0" w:color="auto"/>
            </w:tcBorders>
          </w:tcPr>
          <w:p w:rsidR="001C4B5B" w:rsidRPr="00221A7E" w:rsidRDefault="001C4B5B" w:rsidP="001C4B5B">
            <w:pPr>
              <w:pStyle w:val="BodytextAgency"/>
              <w:keepNext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u w:val="single"/>
              </w:rPr>
            </w:pPr>
            <w:r w:rsidRPr="00221A7E">
              <w:rPr>
                <w:rFonts w:ascii="Times New Roman" w:hAnsi="Times New Roman" w:cs="Times New Roman"/>
                <w:sz w:val="22"/>
                <w:szCs w:val="22"/>
                <w:highlight w:val="yellow"/>
                <w:u w:val="single"/>
              </w:rPr>
              <w:t>Monitoring</w:t>
            </w:r>
          </w:p>
          <w:p w:rsidR="00A875C0" w:rsidRPr="001C4B5B" w:rsidRDefault="001C4B5B" w:rsidP="00C3396E">
            <w:pPr>
              <w:pStyle w:val="BodytextAgency"/>
              <w:keepNext/>
              <w:spacing w:line="24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221A7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Patients should be closely monitored during administration of </w:t>
            </w:r>
            <w:proofErr w:type="spellStart"/>
            <w:r w:rsidRPr="00221A7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ofatumumab</w:t>
            </w:r>
            <w:proofErr w:type="spellEnd"/>
            <w:r w:rsidRPr="00221A7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for the onset of infusion reactions, including cytokine release syndrome, particularly during the first infusion.</w:t>
            </w:r>
            <w:r w:rsidR="00C3396E" w:rsidRPr="001C4B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9463E" w:rsidRPr="003C4032" w:rsidTr="001E3978">
        <w:trPr>
          <w:trHeight w:val="7163"/>
        </w:trPr>
        <w:tc>
          <w:tcPr>
            <w:tcW w:w="2411" w:type="dxa"/>
            <w:vAlign w:val="center"/>
          </w:tcPr>
          <w:p w:rsidR="00112F2C" w:rsidRPr="003C4032" w:rsidRDefault="00112F2C" w:rsidP="002F130D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1C4B5B" w:rsidRPr="00C3396E" w:rsidRDefault="002F130D" w:rsidP="002F130D">
            <w:pPr>
              <w:bidi w:val="0"/>
              <w:ind w:left="567" w:hanging="567"/>
              <w:jc w:val="both"/>
              <w:outlineLvl w:val="0"/>
              <w:rPr>
                <w:b/>
                <w:noProof/>
                <w:sz w:val="22"/>
                <w:szCs w:val="22"/>
              </w:rPr>
            </w:pPr>
            <w:r w:rsidRPr="00C3396E">
              <w:rPr>
                <w:b/>
                <w:noProof/>
                <w:sz w:val="22"/>
                <w:szCs w:val="22"/>
              </w:rPr>
              <w:t xml:space="preserve">Special </w:t>
            </w:r>
            <w:r w:rsidR="001C4B5B" w:rsidRPr="00C3396E">
              <w:rPr>
                <w:b/>
                <w:noProof/>
                <w:sz w:val="22"/>
                <w:szCs w:val="22"/>
              </w:rPr>
              <w:t>warnings and precautions for use</w:t>
            </w:r>
          </w:p>
          <w:p w:rsidR="00A9463E" w:rsidRPr="003C4032" w:rsidRDefault="00A9463E" w:rsidP="002F130D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1C4B5B" w:rsidRPr="00B526F4" w:rsidRDefault="001C4B5B" w:rsidP="00C3396E">
            <w:pPr>
              <w:jc w:val="right"/>
              <w:rPr>
                <w:szCs w:val="22"/>
                <w:u w:val="single"/>
              </w:rPr>
            </w:pPr>
            <w:r w:rsidRPr="00B526F4">
              <w:rPr>
                <w:szCs w:val="22"/>
                <w:u w:val="single"/>
              </w:rPr>
              <w:t xml:space="preserve">Infusion </w:t>
            </w:r>
            <w:r>
              <w:rPr>
                <w:szCs w:val="22"/>
                <w:u w:val="single"/>
              </w:rPr>
              <w:t>r</w:t>
            </w:r>
            <w:r w:rsidRPr="00B526F4">
              <w:rPr>
                <w:szCs w:val="22"/>
                <w:u w:val="single"/>
              </w:rPr>
              <w:t xml:space="preserve">eactions </w:t>
            </w:r>
          </w:p>
          <w:p w:rsidR="00C6124B" w:rsidRPr="00C3396E" w:rsidRDefault="001C4B5B" w:rsidP="00C3396E">
            <w:pPr>
              <w:jc w:val="right"/>
              <w:rPr>
                <w:sz w:val="22"/>
                <w:szCs w:val="22"/>
                <w:shd w:val="clear" w:color="auto" w:fill="CCCCCC"/>
              </w:rPr>
            </w:pPr>
            <w:r w:rsidRPr="00C3396E">
              <w:rPr>
                <w:noProof/>
                <w:sz w:val="22"/>
                <w:szCs w:val="22"/>
              </w:rPr>
              <w:t>Ofatumumab</w:t>
            </w:r>
            <w:r w:rsidRPr="00C3396E">
              <w:rPr>
                <w:sz w:val="22"/>
                <w:szCs w:val="22"/>
              </w:rPr>
              <w:t xml:space="preserve"> has been associated with infusion reactions leading to temporary interruption of treatment or withdrawal of treatment.  Pre-medications attenuate infusion reactions but these may still occur, predominantly during the first infusion. Infusion reactions may include </w:t>
            </w:r>
            <w:proofErr w:type="spellStart"/>
            <w:r w:rsidRPr="00C3396E">
              <w:rPr>
                <w:sz w:val="22"/>
                <w:szCs w:val="22"/>
              </w:rPr>
              <w:t>anaphylactoid</w:t>
            </w:r>
            <w:proofErr w:type="spellEnd"/>
            <w:r w:rsidRPr="00C3396E">
              <w:rPr>
                <w:sz w:val="22"/>
                <w:szCs w:val="22"/>
              </w:rPr>
              <w:t xml:space="preserve"> events, cardiac events, chills/rigors, cough, cytokine release syndrome, </w:t>
            </w:r>
            <w:proofErr w:type="spellStart"/>
            <w:r w:rsidRPr="00C3396E">
              <w:rPr>
                <w:sz w:val="22"/>
                <w:szCs w:val="22"/>
              </w:rPr>
              <w:t>diarrhoea</w:t>
            </w:r>
            <w:proofErr w:type="spellEnd"/>
            <w:r w:rsidRPr="00C3396E">
              <w:rPr>
                <w:sz w:val="22"/>
                <w:szCs w:val="22"/>
              </w:rPr>
              <w:t xml:space="preserve">, </w:t>
            </w:r>
            <w:proofErr w:type="spellStart"/>
            <w:r w:rsidRPr="00C3396E">
              <w:rPr>
                <w:sz w:val="22"/>
                <w:szCs w:val="22"/>
              </w:rPr>
              <w:t>dyspnoea</w:t>
            </w:r>
            <w:proofErr w:type="spellEnd"/>
            <w:r w:rsidRPr="00C3396E">
              <w:rPr>
                <w:sz w:val="22"/>
                <w:szCs w:val="22"/>
              </w:rPr>
              <w:t xml:space="preserve">, fatigue, flushing, hypertension, hypotension, nausea, pain, pyrexia, rash, and urticaria.  Even with pre-medication, severe reactions, including cytokine release syndrome, have been reported following use of </w:t>
            </w:r>
            <w:r w:rsidRPr="00C3396E">
              <w:rPr>
                <w:noProof/>
                <w:sz w:val="22"/>
                <w:szCs w:val="22"/>
              </w:rPr>
              <w:t>ofatumumab</w:t>
            </w:r>
            <w:r w:rsidRPr="00C3396E">
              <w:rPr>
                <w:sz w:val="22"/>
                <w:szCs w:val="22"/>
              </w:rPr>
              <w:t xml:space="preserve">.  In cases of severe infusion reaction, the infusion of </w:t>
            </w:r>
            <w:r w:rsidRPr="00C3396E">
              <w:rPr>
                <w:noProof/>
                <w:sz w:val="22"/>
                <w:szCs w:val="22"/>
              </w:rPr>
              <w:t>Arzerra</w:t>
            </w:r>
            <w:r w:rsidRPr="00C3396E">
              <w:rPr>
                <w:sz w:val="22"/>
                <w:szCs w:val="22"/>
              </w:rPr>
              <w:t xml:space="preserve"> must be interrupted immediately and symptomatic treatment instituted (see section 4.2).</w:t>
            </w:r>
          </w:p>
        </w:tc>
        <w:tc>
          <w:tcPr>
            <w:tcW w:w="4311" w:type="dxa"/>
            <w:tcBorders>
              <w:bottom w:val="single" w:sz="4" w:space="0" w:color="auto"/>
              <w:right w:val="single" w:sz="4" w:space="0" w:color="auto"/>
            </w:tcBorders>
          </w:tcPr>
          <w:p w:rsidR="001C4B5B" w:rsidRPr="00C3396E" w:rsidRDefault="001C4B5B" w:rsidP="00C3396E">
            <w:pPr>
              <w:jc w:val="right"/>
              <w:rPr>
                <w:sz w:val="22"/>
                <w:szCs w:val="22"/>
                <w:u w:val="single"/>
              </w:rPr>
            </w:pPr>
            <w:r w:rsidRPr="00C3396E">
              <w:rPr>
                <w:sz w:val="22"/>
                <w:szCs w:val="22"/>
                <w:u w:val="single"/>
              </w:rPr>
              <w:t xml:space="preserve">Infusion reactions </w:t>
            </w:r>
          </w:p>
          <w:p w:rsidR="001C4B5B" w:rsidRPr="00C3396E" w:rsidRDefault="001C4B5B" w:rsidP="00C3396E">
            <w:pPr>
              <w:jc w:val="right"/>
              <w:rPr>
                <w:rStyle w:val="CSIchar"/>
                <w:sz w:val="22"/>
                <w:szCs w:val="22"/>
              </w:rPr>
            </w:pPr>
            <w:r w:rsidRPr="00C3396E">
              <w:rPr>
                <w:noProof/>
                <w:color w:val="00B050"/>
                <w:sz w:val="22"/>
                <w:szCs w:val="22"/>
              </w:rPr>
              <w:t>Intravenous</w:t>
            </w:r>
            <w:r w:rsidRPr="00C3396E">
              <w:rPr>
                <w:noProof/>
                <w:sz w:val="22"/>
                <w:szCs w:val="22"/>
              </w:rPr>
              <w:t xml:space="preserve"> </w:t>
            </w:r>
            <w:r w:rsidRPr="00C3396E">
              <w:rPr>
                <w:strike/>
                <w:noProof/>
                <w:color w:val="00B050"/>
                <w:sz w:val="22"/>
                <w:szCs w:val="22"/>
              </w:rPr>
              <w:t>O</w:t>
            </w:r>
            <w:r w:rsidRPr="00C3396E">
              <w:rPr>
                <w:noProof/>
                <w:color w:val="00B050"/>
                <w:sz w:val="22"/>
                <w:szCs w:val="22"/>
              </w:rPr>
              <w:t>o</w:t>
            </w:r>
            <w:r w:rsidRPr="00C3396E">
              <w:rPr>
                <w:noProof/>
                <w:sz w:val="22"/>
                <w:szCs w:val="22"/>
              </w:rPr>
              <w:t>fatumumab</w:t>
            </w:r>
            <w:r w:rsidRPr="00C3396E">
              <w:rPr>
                <w:sz w:val="22"/>
                <w:szCs w:val="22"/>
              </w:rPr>
              <w:t xml:space="preserve"> has been associated with infusion reactions</w:t>
            </w:r>
            <w:r w:rsidRPr="00C3396E">
              <w:rPr>
                <w:color w:val="00B050"/>
                <w:sz w:val="22"/>
                <w:szCs w:val="22"/>
              </w:rPr>
              <w:t xml:space="preserve">. These reactions may result in </w:t>
            </w:r>
            <w:r w:rsidRPr="00C3396E">
              <w:rPr>
                <w:strike/>
                <w:color w:val="00B050"/>
                <w:sz w:val="22"/>
                <w:szCs w:val="22"/>
              </w:rPr>
              <w:t>leading to</w:t>
            </w:r>
            <w:r w:rsidRPr="00C3396E">
              <w:rPr>
                <w:sz w:val="22"/>
                <w:szCs w:val="22"/>
              </w:rPr>
              <w:t xml:space="preserve"> temporary interruption </w:t>
            </w:r>
            <w:r w:rsidRPr="00C3396E">
              <w:rPr>
                <w:strike/>
                <w:color w:val="00B050"/>
                <w:sz w:val="22"/>
                <w:szCs w:val="22"/>
              </w:rPr>
              <w:t>of treatment</w:t>
            </w:r>
            <w:r w:rsidRPr="00C3396E">
              <w:rPr>
                <w:sz w:val="22"/>
                <w:szCs w:val="22"/>
              </w:rPr>
              <w:t xml:space="preserve"> or withdrawal of treatment.  Pre-medications attenuate infusion reactions but these may still occur, predominantly during the first infusion. Infusion reactions may include</w:t>
            </w:r>
            <w:r w:rsidRPr="00C3396E">
              <w:rPr>
                <w:color w:val="00B050"/>
                <w:sz w:val="22"/>
                <w:szCs w:val="22"/>
              </w:rPr>
              <w:t>, but are not limited to,</w:t>
            </w:r>
            <w:r w:rsidRPr="00C3396E">
              <w:rPr>
                <w:sz w:val="22"/>
                <w:szCs w:val="22"/>
              </w:rPr>
              <w:t xml:space="preserve"> </w:t>
            </w:r>
            <w:proofErr w:type="spellStart"/>
            <w:r w:rsidRPr="00C3396E">
              <w:rPr>
                <w:sz w:val="22"/>
                <w:szCs w:val="22"/>
              </w:rPr>
              <w:t>anaphylactoid</w:t>
            </w:r>
            <w:proofErr w:type="spellEnd"/>
            <w:r w:rsidRPr="00C3396E">
              <w:rPr>
                <w:sz w:val="22"/>
                <w:szCs w:val="22"/>
              </w:rPr>
              <w:t xml:space="preserve"> events, </w:t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bronchospasm</w:t>
            </w:r>
            <w:proofErr w:type="spellEnd"/>
            <w:r w:rsidRPr="00C3396E">
              <w:rPr>
                <w:sz w:val="22"/>
                <w:szCs w:val="22"/>
                <w:highlight w:val="yellow"/>
              </w:rPr>
              <w:t>,</w:t>
            </w:r>
            <w:r w:rsidRPr="00C3396E">
              <w:rPr>
                <w:sz w:val="22"/>
                <w:szCs w:val="22"/>
              </w:rPr>
              <w:t xml:space="preserve"> cardiac events </w:t>
            </w:r>
            <w:r w:rsidRPr="00C3396E">
              <w:rPr>
                <w:color w:val="00B050"/>
                <w:sz w:val="22"/>
                <w:szCs w:val="22"/>
              </w:rPr>
              <w:t>(</w:t>
            </w:r>
            <w:proofErr w:type="spellStart"/>
            <w:r w:rsidRPr="00C3396E">
              <w:rPr>
                <w:color w:val="00B050"/>
                <w:sz w:val="22"/>
                <w:szCs w:val="22"/>
              </w:rPr>
              <w:t>eg</w:t>
            </w:r>
            <w:proofErr w:type="spellEnd"/>
            <w:r w:rsidRPr="00C3396E">
              <w:rPr>
                <w:color w:val="00B050"/>
                <w:sz w:val="22"/>
                <w:szCs w:val="22"/>
              </w:rPr>
              <w:t xml:space="preserve">. myocardial </w:t>
            </w:r>
            <w:proofErr w:type="spellStart"/>
            <w:r w:rsidRPr="00C3396E">
              <w:rPr>
                <w:color w:val="00B050"/>
                <w:sz w:val="22"/>
                <w:szCs w:val="22"/>
              </w:rPr>
              <w:t>ischaemia</w:t>
            </w:r>
            <w:proofErr w:type="spellEnd"/>
            <w:r w:rsidRPr="00C3396E">
              <w:rPr>
                <w:color w:val="00B050"/>
                <w:sz w:val="22"/>
                <w:szCs w:val="22"/>
              </w:rPr>
              <w:t xml:space="preserve"> / infarction, </w:t>
            </w:r>
            <w:proofErr w:type="spellStart"/>
            <w:r w:rsidRPr="00C3396E">
              <w:rPr>
                <w:color w:val="00B050"/>
                <w:sz w:val="22"/>
                <w:szCs w:val="22"/>
              </w:rPr>
              <w:t>bradycardia</w:t>
            </w:r>
            <w:proofErr w:type="spellEnd"/>
            <w:r w:rsidRPr="00C3396E">
              <w:rPr>
                <w:color w:val="00B050"/>
                <w:sz w:val="22"/>
                <w:szCs w:val="22"/>
              </w:rPr>
              <w:t>),</w:t>
            </w:r>
            <w:r w:rsidRPr="00C3396E">
              <w:rPr>
                <w:sz w:val="22"/>
                <w:szCs w:val="22"/>
              </w:rPr>
              <w:t xml:space="preserve"> chills/rigors, cough, cytokine release syndrome, </w:t>
            </w:r>
            <w:proofErr w:type="spellStart"/>
            <w:r w:rsidRPr="00C3396E">
              <w:rPr>
                <w:sz w:val="22"/>
                <w:szCs w:val="22"/>
              </w:rPr>
              <w:t>diarrhoea</w:t>
            </w:r>
            <w:proofErr w:type="spellEnd"/>
            <w:r w:rsidRPr="00C3396E">
              <w:rPr>
                <w:sz w:val="22"/>
                <w:szCs w:val="22"/>
              </w:rPr>
              <w:t xml:space="preserve">, </w:t>
            </w:r>
            <w:proofErr w:type="spellStart"/>
            <w:r w:rsidRPr="00C3396E">
              <w:rPr>
                <w:sz w:val="22"/>
                <w:szCs w:val="22"/>
              </w:rPr>
              <w:t>dyspnoea</w:t>
            </w:r>
            <w:proofErr w:type="spellEnd"/>
            <w:r w:rsidRPr="00C3396E">
              <w:rPr>
                <w:sz w:val="22"/>
                <w:szCs w:val="22"/>
              </w:rPr>
              <w:t xml:space="preserve">, fatigue, flushing, hypertension, hypotension, nausea, pain, </w:t>
            </w:r>
            <w:r w:rsidRPr="00C3396E">
              <w:rPr>
                <w:sz w:val="22"/>
                <w:szCs w:val="22"/>
                <w:highlight w:val="yellow"/>
              </w:rPr>
              <w:t xml:space="preserve">pulmonary </w:t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oedema</w:t>
            </w:r>
            <w:proofErr w:type="spellEnd"/>
            <w:r w:rsidRPr="00C3396E">
              <w:rPr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pruritus</w:t>
            </w:r>
            <w:proofErr w:type="spellEnd"/>
            <w:proofErr w:type="gramStart"/>
            <w:r w:rsidRPr="00C3396E">
              <w:rPr>
                <w:sz w:val="22"/>
                <w:szCs w:val="22"/>
                <w:highlight w:val="yellow"/>
              </w:rPr>
              <w:t>,</w:t>
            </w:r>
            <w:r w:rsidRPr="00C3396E">
              <w:rPr>
                <w:sz w:val="22"/>
                <w:szCs w:val="22"/>
              </w:rPr>
              <w:t xml:space="preserve">  pyrexia</w:t>
            </w:r>
            <w:proofErr w:type="gramEnd"/>
            <w:r w:rsidRPr="00C3396E">
              <w:rPr>
                <w:sz w:val="22"/>
                <w:szCs w:val="22"/>
              </w:rPr>
              <w:t>, rash, and urticaria.</w:t>
            </w:r>
            <w:r w:rsidRPr="00C3396E">
              <w:rPr>
                <w:color w:val="00B050"/>
                <w:sz w:val="22"/>
                <w:szCs w:val="22"/>
              </w:rPr>
              <w:t xml:space="preserve"> </w:t>
            </w:r>
            <w:r w:rsidRPr="00C3396E">
              <w:rPr>
                <w:sz w:val="22"/>
                <w:szCs w:val="22"/>
                <w:highlight w:val="yellow"/>
              </w:rPr>
              <w:t>In rare cases, these reactions may lead to death.</w:t>
            </w:r>
            <w:r w:rsidRPr="00C3396E">
              <w:rPr>
                <w:sz w:val="22"/>
                <w:szCs w:val="22"/>
              </w:rPr>
              <w:t xml:space="preserve">   Even with pre-medication, severe reactions, including cytokine release syndrome, have been reported following use of </w:t>
            </w:r>
            <w:r w:rsidRPr="00C3396E">
              <w:rPr>
                <w:noProof/>
                <w:sz w:val="22"/>
                <w:szCs w:val="22"/>
              </w:rPr>
              <w:t>ofatumumab</w:t>
            </w:r>
            <w:r w:rsidRPr="00C3396E">
              <w:rPr>
                <w:sz w:val="22"/>
                <w:szCs w:val="22"/>
              </w:rPr>
              <w:t xml:space="preserve">.  In cases of severe infusion reaction, the infusion of </w:t>
            </w:r>
            <w:r w:rsidRPr="00C3396E">
              <w:rPr>
                <w:noProof/>
                <w:sz w:val="22"/>
                <w:szCs w:val="22"/>
              </w:rPr>
              <w:t>Arzerra</w:t>
            </w:r>
            <w:r w:rsidRPr="00C3396E">
              <w:rPr>
                <w:sz w:val="22"/>
                <w:szCs w:val="22"/>
              </w:rPr>
              <w:t xml:space="preserve"> must be interrupted immediately and symptomatic treatment instituted (see section 4.2).</w:t>
            </w:r>
            <w:r w:rsidRPr="00C3396E">
              <w:rPr>
                <w:rStyle w:val="CSIchar"/>
                <w:sz w:val="22"/>
                <w:szCs w:val="22"/>
              </w:rPr>
              <w:t xml:space="preserve"> </w:t>
            </w:r>
          </w:p>
          <w:p w:rsidR="00C6124B" w:rsidRPr="003C4032" w:rsidRDefault="00C6124B" w:rsidP="003C4032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F130D" w:rsidRPr="003C4032" w:rsidTr="001E3978">
        <w:trPr>
          <w:trHeight w:val="699"/>
        </w:trPr>
        <w:tc>
          <w:tcPr>
            <w:tcW w:w="2411" w:type="dxa"/>
            <w:vMerge w:val="restart"/>
            <w:vAlign w:val="center"/>
          </w:tcPr>
          <w:p w:rsidR="001E3978" w:rsidRDefault="001E3978" w:rsidP="001E3978">
            <w:pPr>
              <w:bidi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1E3978" w:rsidRDefault="001E3978" w:rsidP="001E3978">
            <w:pPr>
              <w:bidi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1E3978" w:rsidRDefault="001E3978" w:rsidP="001E3978">
            <w:pPr>
              <w:bidi w:val="0"/>
              <w:rPr>
                <w:b/>
                <w:noProof/>
                <w:sz w:val="22"/>
                <w:szCs w:val="22"/>
              </w:rPr>
            </w:pPr>
          </w:p>
          <w:p w:rsidR="001E3978" w:rsidRDefault="002F130D" w:rsidP="001E3978">
            <w:pPr>
              <w:bidi w:val="0"/>
              <w:jc w:val="center"/>
              <w:rPr>
                <w:b/>
                <w:noProof/>
                <w:sz w:val="22"/>
                <w:szCs w:val="22"/>
              </w:rPr>
            </w:pPr>
            <w:r w:rsidRPr="00C3396E">
              <w:rPr>
                <w:b/>
                <w:noProof/>
                <w:sz w:val="22"/>
                <w:szCs w:val="22"/>
              </w:rPr>
              <w:t>Undesirable effects</w:t>
            </w:r>
            <w:r w:rsidR="001E3978">
              <w:rPr>
                <w:b/>
                <w:noProof/>
                <w:sz w:val="22"/>
                <w:szCs w:val="22"/>
              </w:rPr>
              <w:br/>
            </w:r>
            <w:r w:rsidR="001E3978">
              <w:rPr>
                <w:b/>
                <w:noProof/>
                <w:sz w:val="22"/>
                <w:szCs w:val="22"/>
              </w:rPr>
              <w:br/>
            </w:r>
            <w:r w:rsidR="001E3978">
              <w:rPr>
                <w:b/>
                <w:noProof/>
                <w:sz w:val="22"/>
                <w:szCs w:val="22"/>
              </w:rPr>
              <w:br/>
            </w:r>
            <w:r w:rsidR="001E3978">
              <w:rPr>
                <w:b/>
                <w:noProof/>
                <w:sz w:val="22"/>
                <w:szCs w:val="22"/>
              </w:rPr>
              <w:br/>
            </w:r>
            <w:r w:rsidR="001E3978">
              <w:rPr>
                <w:b/>
                <w:noProof/>
                <w:sz w:val="22"/>
                <w:szCs w:val="22"/>
              </w:rPr>
              <w:lastRenderedPageBreak/>
              <w:br/>
            </w:r>
            <w:r w:rsidR="001E3978">
              <w:rPr>
                <w:b/>
                <w:noProof/>
                <w:sz w:val="22"/>
                <w:szCs w:val="22"/>
              </w:rPr>
              <w:br/>
            </w:r>
          </w:p>
          <w:p w:rsidR="001E3978" w:rsidRDefault="001E3978" w:rsidP="001E3978">
            <w:pPr>
              <w:bidi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1E3978" w:rsidRDefault="001E3978" w:rsidP="001E3978">
            <w:pPr>
              <w:bidi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1E3978" w:rsidRDefault="001E3978" w:rsidP="001E3978">
            <w:pPr>
              <w:bidi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1E3978" w:rsidRDefault="001E3978" w:rsidP="001E3978">
            <w:pPr>
              <w:bidi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1E3978" w:rsidRDefault="001E3978" w:rsidP="001E3978">
            <w:pPr>
              <w:bidi w:val="0"/>
              <w:jc w:val="center"/>
              <w:rPr>
                <w:b/>
                <w:noProof/>
                <w:sz w:val="22"/>
                <w:szCs w:val="22"/>
              </w:rPr>
            </w:pPr>
          </w:p>
          <w:p w:rsidR="002F130D" w:rsidRPr="00C3396E" w:rsidRDefault="001E3978" w:rsidP="001E39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b/>
                <w:noProof/>
                <w:sz w:val="22"/>
                <w:szCs w:val="22"/>
              </w:rPr>
              <w:br/>
            </w:r>
            <w:r>
              <w:rPr>
                <w:b/>
                <w:noProof/>
                <w:sz w:val="22"/>
                <w:szCs w:val="22"/>
              </w:rPr>
              <w:br/>
            </w:r>
            <w:r w:rsidRPr="00C3396E">
              <w:rPr>
                <w:b/>
                <w:noProof/>
                <w:sz w:val="22"/>
                <w:szCs w:val="22"/>
              </w:rPr>
              <w:t>Undesirable effects</w:t>
            </w:r>
          </w:p>
        </w:tc>
        <w:tc>
          <w:tcPr>
            <w:tcW w:w="3061" w:type="dxa"/>
            <w:tcBorders>
              <w:bottom w:val="dashed" w:sz="4" w:space="0" w:color="auto"/>
            </w:tcBorders>
          </w:tcPr>
          <w:p w:rsidR="002F130D" w:rsidRPr="003C4032" w:rsidRDefault="002F130D" w:rsidP="003C4032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311" w:type="dxa"/>
            <w:tcBorders>
              <w:bottom w:val="dashed" w:sz="4" w:space="0" w:color="auto"/>
              <w:right w:val="single" w:sz="4" w:space="0" w:color="auto"/>
            </w:tcBorders>
          </w:tcPr>
          <w:p w:rsidR="002F130D" w:rsidRPr="00C3396E" w:rsidRDefault="002F130D" w:rsidP="002F130D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3396E">
              <w:rPr>
                <w:sz w:val="22"/>
                <w:szCs w:val="22"/>
              </w:rPr>
              <w:t>Cardiac disorders</w:t>
            </w:r>
            <w:r w:rsidRPr="00C3396E">
              <w:rPr>
                <w:sz w:val="22"/>
                <w:szCs w:val="22"/>
              </w:rPr>
              <w:br/>
            </w:r>
            <w:r w:rsidRPr="00C3396E">
              <w:rPr>
                <w:sz w:val="22"/>
                <w:szCs w:val="22"/>
                <w:u w:val="single"/>
              </w:rPr>
              <w:t xml:space="preserve"> Uncommon</w:t>
            </w:r>
            <w:r w:rsidRPr="00C3396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Bradycardia</w:t>
            </w:r>
            <w:proofErr w:type="spellEnd"/>
            <w:r w:rsidRPr="00C3396E">
              <w:rPr>
                <w:sz w:val="22"/>
                <w:szCs w:val="22"/>
                <w:highlight w:val="yellow"/>
              </w:rPr>
              <w:t>*</w:t>
            </w:r>
          </w:p>
        </w:tc>
      </w:tr>
      <w:tr w:rsidR="002F130D" w:rsidRPr="003C4032" w:rsidTr="001E3978">
        <w:trPr>
          <w:trHeight w:val="699"/>
        </w:trPr>
        <w:tc>
          <w:tcPr>
            <w:tcW w:w="2411" w:type="dxa"/>
            <w:vMerge/>
          </w:tcPr>
          <w:p w:rsidR="002F130D" w:rsidRPr="00B526F4" w:rsidRDefault="002F130D" w:rsidP="003C4032">
            <w:pPr>
              <w:bidi w:val="0"/>
              <w:rPr>
                <w:b/>
                <w:noProof/>
                <w:szCs w:val="22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</w:tcPr>
          <w:p w:rsidR="002F130D" w:rsidRPr="003C4032" w:rsidRDefault="002F130D" w:rsidP="003C4032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31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F130D" w:rsidRPr="00C3396E" w:rsidRDefault="002F130D" w:rsidP="002F130D">
            <w:pPr>
              <w:bidi w:val="0"/>
              <w:rPr>
                <w:sz w:val="22"/>
                <w:szCs w:val="22"/>
              </w:rPr>
            </w:pPr>
            <w:r w:rsidRPr="00C3396E">
              <w:rPr>
                <w:sz w:val="22"/>
                <w:szCs w:val="22"/>
              </w:rPr>
              <w:t>Respiratory, thoracic and mediastinal disorders</w:t>
            </w:r>
            <w:r w:rsidRPr="00C3396E">
              <w:rPr>
                <w:sz w:val="22"/>
                <w:szCs w:val="22"/>
                <w:rtl/>
              </w:rPr>
              <w:br/>
            </w:r>
            <w:r w:rsidRPr="00C3396E">
              <w:rPr>
                <w:sz w:val="22"/>
                <w:szCs w:val="22"/>
                <w:u w:val="single"/>
              </w:rPr>
              <w:t>Uncommon</w:t>
            </w:r>
            <w:r w:rsidRPr="00C3396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</w:r>
            <w:r w:rsidRPr="00C3396E">
              <w:rPr>
                <w:sz w:val="22"/>
                <w:szCs w:val="22"/>
                <w:highlight w:val="yellow"/>
              </w:rPr>
              <w:t xml:space="preserve">Pulmonary </w:t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oedema</w:t>
            </w:r>
            <w:proofErr w:type="spellEnd"/>
            <w:r w:rsidRPr="00C3396E">
              <w:rPr>
                <w:sz w:val="22"/>
                <w:szCs w:val="22"/>
                <w:highlight w:val="yellow"/>
              </w:rPr>
              <w:t>*</w:t>
            </w:r>
          </w:p>
        </w:tc>
      </w:tr>
      <w:tr w:rsidR="001E3978" w:rsidRPr="003C4032" w:rsidTr="001E3978">
        <w:trPr>
          <w:trHeight w:val="699"/>
        </w:trPr>
        <w:tc>
          <w:tcPr>
            <w:tcW w:w="2411" w:type="dxa"/>
            <w:vMerge/>
          </w:tcPr>
          <w:p w:rsidR="001E3978" w:rsidRPr="00B526F4" w:rsidRDefault="001E3978" w:rsidP="003C4032">
            <w:pPr>
              <w:bidi w:val="0"/>
              <w:rPr>
                <w:b/>
                <w:noProof/>
                <w:szCs w:val="22"/>
              </w:rPr>
            </w:pPr>
          </w:p>
        </w:tc>
        <w:tc>
          <w:tcPr>
            <w:tcW w:w="3061" w:type="dxa"/>
            <w:tcBorders>
              <w:top w:val="dashed" w:sz="4" w:space="0" w:color="auto"/>
            </w:tcBorders>
          </w:tcPr>
          <w:p w:rsidR="001E3978" w:rsidRPr="003C4032" w:rsidRDefault="001E3978" w:rsidP="003C4032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311" w:type="dxa"/>
            <w:tcBorders>
              <w:top w:val="dashed" w:sz="4" w:space="0" w:color="auto"/>
              <w:right w:val="single" w:sz="4" w:space="0" w:color="auto"/>
            </w:tcBorders>
          </w:tcPr>
          <w:p w:rsidR="001E3978" w:rsidRPr="001E3978" w:rsidRDefault="001E3978" w:rsidP="001E3978">
            <w:pPr>
              <w:keepNext/>
              <w:bidi w:val="0"/>
              <w:rPr>
                <w:color w:val="00B050"/>
                <w:sz w:val="22"/>
                <w:szCs w:val="22"/>
              </w:rPr>
            </w:pPr>
            <w:r w:rsidRPr="001E3978">
              <w:rPr>
                <w:noProof/>
                <w:color w:val="00B050"/>
                <w:sz w:val="22"/>
                <w:szCs w:val="22"/>
              </w:rPr>
              <w:t>*</w:t>
            </w:r>
            <w:r w:rsidRPr="001E3978">
              <w:rPr>
                <w:color w:val="00B050"/>
                <w:sz w:val="22"/>
                <w:szCs w:val="22"/>
              </w:rPr>
              <w:t xml:space="preserve">These events are likely attributable to </w:t>
            </w:r>
            <w:proofErr w:type="spellStart"/>
            <w:r w:rsidRPr="001E3978">
              <w:rPr>
                <w:color w:val="00B050"/>
                <w:sz w:val="22"/>
                <w:szCs w:val="22"/>
              </w:rPr>
              <w:t>ofatumumab</w:t>
            </w:r>
            <w:proofErr w:type="spellEnd"/>
            <w:r w:rsidRPr="001E3978">
              <w:rPr>
                <w:color w:val="00B050"/>
                <w:sz w:val="22"/>
                <w:szCs w:val="22"/>
              </w:rPr>
              <w:t xml:space="preserve"> in the setting of an infusion reaction and typically occur after the start of infusion and within 24 hours after the completion of the infusion (see section 4.4).</w:t>
            </w:r>
          </w:p>
          <w:p w:rsidR="001E3978" w:rsidRPr="00C3396E" w:rsidRDefault="001E3978" w:rsidP="002F130D">
            <w:pPr>
              <w:bidi w:val="0"/>
              <w:rPr>
                <w:sz w:val="22"/>
                <w:szCs w:val="22"/>
              </w:rPr>
            </w:pPr>
          </w:p>
        </w:tc>
      </w:tr>
      <w:tr w:rsidR="002F130D" w:rsidRPr="003C4032" w:rsidTr="00C3396E">
        <w:trPr>
          <w:trHeight w:val="699"/>
        </w:trPr>
        <w:tc>
          <w:tcPr>
            <w:tcW w:w="2411" w:type="dxa"/>
            <w:vMerge/>
          </w:tcPr>
          <w:p w:rsidR="002F130D" w:rsidRPr="00B526F4" w:rsidRDefault="002F130D" w:rsidP="003C4032">
            <w:pPr>
              <w:bidi w:val="0"/>
              <w:rPr>
                <w:b/>
                <w:noProof/>
                <w:szCs w:val="22"/>
              </w:rPr>
            </w:pPr>
          </w:p>
        </w:tc>
        <w:tc>
          <w:tcPr>
            <w:tcW w:w="3061" w:type="dxa"/>
          </w:tcPr>
          <w:p w:rsidR="002F130D" w:rsidRPr="003C4032" w:rsidRDefault="002F130D" w:rsidP="003C4032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311" w:type="dxa"/>
            <w:tcBorders>
              <w:right w:val="single" w:sz="4" w:space="0" w:color="auto"/>
            </w:tcBorders>
          </w:tcPr>
          <w:p w:rsidR="002F130D" w:rsidRPr="00C3396E" w:rsidRDefault="002F130D" w:rsidP="002F130D">
            <w:pPr>
              <w:jc w:val="right"/>
              <w:rPr>
                <w:i/>
                <w:noProof/>
                <w:sz w:val="22"/>
                <w:szCs w:val="22"/>
                <w:highlight w:val="yellow"/>
              </w:rPr>
            </w:pPr>
            <w:r w:rsidRPr="00C3396E">
              <w:rPr>
                <w:i/>
                <w:noProof/>
                <w:sz w:val="22"/>
                <w:szCs w:val="22"/>
                <w:highlight w:val="yellow"/>
              </w:rPr>
              <w:t>Postmarketing Experience</w:t>
            </w:r>
          </w:p>
          <w:p w:rsidR="002F130D" w:rsidRPr="00C3396E" w:rsidRDefault="002F130D" w:rsidP="002F130D">
            <w:pPr>
              <w:jc w:val="right"/>
              <w:rPr>
                <w:sz w:val="22"/>
                <w:szCs w:val="22"/>
                <w:highlight w:val="yellow"/>
              </w:rPr>
            </w:pPr>
            <w:r w:rsidRPr="00C3396E">
              <w:rPr>
                <w:sz w:val="22"/>
                <w:szCs w:val="22"/>
                <w:highlight w:val="yellow"/>
              </w:rPr>
              <w:t xml:space="preserve">The following adverse reactions have been identified during post-approval use of </w:t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Arzerra</w:t>
            </w:r>
            <w:proofErr w:type="spellEnd"/>
            <w:r w:rsidRPr="00C3396E">
              <w:rPr>
                <w:sz w:val="22"/>
                <w:szCs w:val="22"/>
                <w:highlight w:val="yellow"/>
              </w:rPr>
              <w:t>. Because these reactions are reported voluntarily from a population of uncertain size, it is not always possible to reliably estimate their frequency or establish a causal relationship to drug exposure.</w:t>
            </w:r>
          </w:p>
          <w:p w:rsidR="002F130D" w:rsidRPr="00C3396E" w:rsidRDefault="002F130D" w:rsidP="002F130D">
            <w:pPr>
              <w:jc w:val="right"/>
              <w:rPr>
                <w:sz w:val="22"/>
                <w:szCs w:val="22"/>
                <w:highlight w:val="yellow"/>
                <w:rtl/>
              </w:rPr>
            </w:pPr>
            <w:r w:rsidRPr="00C3396E">
              <w:rPr>
                <w:sz w:val="22"/>
                <w:szCs w:val="22"/>
                <w:highlight w:val="yellow"/>
                <w:u w:val="single"/>
              </w:rPr>
              <w:t>Infusion-related Cardiac Events:</w:t>
            </w:r>
            <w:r w:rsidRPr="00C3396E">
              <w:rPr>
                <w:sz w:val="22"/>
                <w:szCs w:val="22"/>
                <w:highlight w:val="yellow"/>
              </w:rPr>
              <w:t xml:space="preserve"> Cardiac arrest.</w:t>
            </w:r>
          </w:p>
          <w:p w:rsidR="002F130D" w:rsidRPr="00C3396E" w:rsidRDefault="002F130D" w:rsidP="002F130D">
            <w:pPr>
              <w:jc w:val="right"/>
              <w:rPr>
                <w:sz w:val="22"/>
                <w:szCs w:val="22"/>
              </w:rPr>
            </w:pPr>
            <w:proofErr w:type="spellStart"/>
            <w:r w:rsidRPr="00C3396E">
              <w:rPr>
                <w:sz w:val="22"/>
                <w:szCs w:val="22"/>
                <w:highlight w:val="yellow"/>
                <w:u w:val="single"/>
              </w:rPr>
              <w:t>Mucocutaneous</w:t>
            </w:r>
            <w:proofErr w:type="spellEnd"/>
            <w:r w:rsidRPr="00C3396E">
              <w:rPr>
                <w:sz w:val="22"/>
                <w:szCs w:val="22"/>
                <w:highlight w:val="yellow"/>
                <w:u w:val="single"/>
              </w:rPr>
              <w:t xml:space="preserve"> Reactions:</w:t>
            </w:r>
            <w:r w:rsidRPr="00C3396E">
              <w:rPr>
                <w:sz w:val="22"/>
                <w:szCs w:val="22"/>
                <w:highlight w:val="yellow"/>
              </w:rPr>
              <w:t xml:space="preserve"> Stevens-Johnson syndrome, </w:t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porphyria</w:t>
            </w:r>
            <w:proofErr w:type="spellEnd"/>
            <w:r w:rsidRPr="00C3396E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cutanea</w:t>
            </w:r>
            <w:proofErr w:type="spellEnd"/>
            <w:r w:rsidRPr="00C3396E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C3396E">
              <w:rPr>
                <w:sz w:val="22"/>
                <w:szCs w:val="22"/>
                <w:highlight w:val="yellow"/>
              </w:rPr>
              <w:t>tarda</w:t>
            </w:r>
            <w:proofErr w:type="spellEnd"/>
            <w:r w:rsidRPr="00C3396E">
              <w:rPr>
                <w:sz w:val="22"/>
                <w:szCs w:val="22"/>
                <w:highlight w:val="yellow"/>
              </w:rPr>
              <w:t>.</w:t>
            </w:r>
          </w:p>
          <w:p w:rsidR="002F130D" w:rsidRPr="00C3396E" w:rsidRDefault="002F130D" w:rsidP="002F130D">
            <w:pPr>
              <w:bidi w:val="0"/>
              <w:rPr>
                <w:sz w:val="22"/>
                <w:szCs w:val="22"/>
              </w:rPr>
            </w:pPr>
          </w:p>
        </w:tc>
      </w:tr>
    </w:tbl>
    <w:p w:rsidR="003315C3" w:rsidRPr="003C4032" w:rsidRDefault="003315C3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מצ"ב העלון, שבו מסומנות ההחמרות המבוקשות  </w:t>
      </w:r>
      <w:r w:rsidRPr="003C4032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>על רקע צהוב.</w:t>
      </w:r>
    </w:p>
    <w:p w:rsidR="003315C3" w:rsidRPr="003C4032" w:rsidRDefault="003315C3" w:rsidP="003C4032">
      <w:pPr>
        <w:rPr>
          <w:rFonts w:asciiTheme="minorBidi" w:hAnsiTheme="minorBidi" w:cstheme="minorBidi"/>
          <w:sz w:val="22"/>
          <w:szCs w:val="22"/>
          <w:rtl/>
        </w:rPr>
      </w:pPr>
      <w:r w:rsidRPr="003C4032">
        <w:rPr>
          <w:rFonts w:asciiTheme="minorBidi" w:hAnsiTheme="minorBidi" w:cstheme="minorBidi"/>
          <w:sz w:val="22"/>
          <w:szCs w:val="22"/>
          <w:rtl/>
        </w:rPr>
        <w:t xml:space="preserve">שינויים שאינם בגדר החמרות סומנו (בעלון) בצבע </w:t>
      </w:r>
      <w:r w:rsidRPr="003C4032">
        <w:rPr>
          <w:rFonts w:asciiTheme="minorBidi" w:hAnsiTheme="minorBidi" w:cstheme="minorBidi"/>
          <w:color w:val="00B050"/>
          <w:sz w:val="22"/>
          <w:szCs w:val="22"/>
          <w:rtl/>
        </w:rPr>
        <w:t>ירוק</w:t>
      </w:r>
      <w:r w:rsidRPr="003C4032">
        <w:rPr>
          <w:rFonts w:asciiTheme="minorBidi" w:hAnsiTheme="minorBidi" w:cstheme="minorBidi"/>
          <w:sz w:val="22"/>
          <w:szCs w:val="22"/>
          <w:rtl/>
        </w:rPr>
        <w:t xml:space="preserve">. </w:t>
      </w:r>
    </w:p>
    <w:p w:rsidR="003315C3" w:rsidRPr="003C4032" w:rsidRDefault="005358CE" w:rsidP="003C403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35pt;margin-top:4.75pt;width:440.8pt;height:0;flip:x;z-index:251658240" o:connectortype="straight">
            <w10:wrap anchorx="page"/>
          </v:shape>
        </w:pict>
      </w:r>
    </w:p>
    <w:p w:rsidR="003315C3" w:rsidRPr="003C4032" w:rsidRDefault="003315C3" w:rsidP="003C4032">
      <w:pPr>
        <w:rPr>
          <w:rFonts w:asciiTheme="minorBidi" w:hAnsiTheme="minorBidi" w:cstheme="minorBidi"/>
          <w:sz w:val="22"/>
          <w:szCs w:val="22"/>
          <w:rtl/>
        </w:rPr>
      </w:pPr>
    </w:p>
    <w:sectPr w:rsidR="003315C3" w:rsidRPr="003C4032" w:rsidSect="003315C3">
      <w:pgSz w:w="11906" w:h="16838"/>
      <w:pgMar w:top="567" w:right="1274" w:bottom="851" w:left="1134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454E26"/>
    <w:multiLevelType w:val="hybridMultilevel"/>
    <w:tmpl w:val="9D2E6784"/>
    <w:lvl w:ilvl="0" w:tplc="534E47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613B5"/>
    <w:rsid w:val="00007EC8"/>
    <w:rsid w:val="00015456"/>
    <w:rsid w:val="000356F8"/>
    <w:rsid w:val="00112F2C"/>
    <w:rsid w:val="001543B4"/>
    <w:rsid w:val="00156E42"/>
    <w:rsid w:val="001658AE"/>
    <w:rsid w:val="001C4B5B"/>
    <w:rsid w:val="001E3978"/>
    <w:rsid w:val="001F7182"/>
    <w:rsid w:val="00236AB9"/>
    <w:rsid w:val="00260355"/>
    <w:rsid w:val="00274849"/>
    <w:rsid w:val="00281CC8"/>
    <w:rsid w:val="002C34A4"/>
    <w:rsid w:val="002F130D"/>
    <w:rsid w:val="002F3ABE"/>
    <w:rsid w:val="00300616"/>
    <w:rsid w:val="003315C3"/>
    <w:rsid w:val="00352380"/>
    <w:rsid w:val="00357B4F"/>
    <w:rsid w:val="0036025C"/>
    <w:rsid w:val="00380A93"/>
    <w:rsid w:val="00383654"/>
    <w:rsid w:val="003C1B4C"/>
    <w:rsid w:val="003C4032"/>
    <w:rsid w:val="00410789"/>
    <w:rsid w:val="004A042F"/>
    <w:rsid w:val="004D43B6"/>
    <w:rsid w:val="004E3DBF"/>
    <w:rsid w:val="005358CE"/>
    <w:rsid w:val="00553975"/>
    <w:rsid w:val="00555195"/>
    <w:rsid w:val="005A74A6"/>
    <w:rsid w:val="005D6B6C"/>
    <w:rsid w:val="005D6CBA"/>
    <w:rsid w:val="0061272F"/>
    <w:rsid w:val="00651378"/>
    <w:rsid w:val="0068302D"/>
    <w:rsid w:val="00687E7A"/>
    <w:rsid w:val="006E29B2"/>
    <w:rsid w:val="00717E56"/>
    <w:rsid w:val="00721F01"/>
    <w:rsid w:val="00730EF5"/>
    <w:rsid w:val="00732AAC"/>
    <w:rsid w:val="007353E3"/>
    <w:rsid w:val="007B3181"/>
    <w:rsid w:val="007F1DF9"/>
    <w:rsid w:val="008102AD"/>
    <w:rsid w:val="00811EB0"/>
    <w:rsid w:val="00812962"/>
    <w:rsid w:val="00847093"/>
    <w:rsid w:val="0085081E"/>
    <w:rsid w:val="00862524"/>
    <w:rsid w:val="00865D86"/>
    <w:rsid w:val="00873AEB"/>
    <w:rsid w:val="00887FF4"/>
    <w:rsid w:val="008C34BA"/>
    <w:rsid w:val="008E3033"/>
    <w:rsid w:val="00916F42"/>
    <w:rsid w:val="00955F40"/>
    <w:rsid w:val="00964251"/>
    <w:rsid w:val="00964A41"/>
    <w:rsid w:val="00973F87"/>
    <w:rsid w:val="00990E51"/>
    <w:rsid w:val="009C4729"/>
    <w:rsid w:val="009C4FA9"/>
    <w:rsid w:val="009D7361"/>
    <w:rsid w:val="00A21804"/>
    <w:rsid w:val="00A46AAB"/>
    <w:rsid w:val="00A801D5"/>
    <w:rsid w:val="00A875C0"/>
    <w:rsid w:val="00A9463E"/>
    <w:rsid w:val="00A955E8"/>
    <w:rsid w:val="00AA273E"/>
    <w:rsid w:val="00AB3445"/>
    <w:rsid w:val="00B5004E"/>
    <w:rsid w:val="00B61B96"/>
    <w:rsid w:val="00B63C52"/>
    <w:rsid w:val="00B7544B"/>
    <w:rsid w:val="00B757C7"/>
    <w:rsid w:val="00BD5E84"/>
    <w:rsid w:val="00C02735"/>
    <w:rsid w:val="00C3396E"/>
    <w:rsid w:val="00C6124B"/>
    <w:rsid w:val="00C702AA"/>
    <w:rsid w:val="00CA59B7"/>
    <w:rsid w:val="00CB57F9"/>
    <w:rsid w:val="00CC2F2F"/>
    <w:rsid w:val="00CE2209"/>
    <w:rsid w:val="00CE58E7"/>
    <w:rsid w:val="00D613B5"/>
    <w:rsid w:val="00DA1744"/>
    <w:rsid w:val="00DD036A"/>
    <w:rsid w:val="00DE1C76"/>
    <w:rsid w:val="00E04CAE"/>
    <w:rsid w:val="00E13D2C"/>
    <w:rsid w:val="00E41CF3"/>
    <w:rsid w:val="00EA6E38"/>
    <w:rsid w:val="00EB1F52"/>
    <w:rsid w:val="00EE3F64"/>
    <w:rsid w:val="00EF09EC"/>
    <w:rsid w:val="00F03688"/>
    <w:rsid w:val="00F043DF"/>
    <w:rsid w:val="00F52EE8"/>
    <w:rsid w:val="00F8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3" type="connector" idref="#_x0000_s1027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Heading3">
    <w:name w:val="heading 3"/>
    <w:basedOn w:val="Normal"/>
    <w:next w:val="Normal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0">
    <w:name w:val="NORMAL"/>
    <w:basedOn w:val="Normal"/>
    <w:rsid w:val="00EB1F52"/>
    <w:pPr>
      <w:jc w:val="both"/>
    </w:pPr>
    <w:rPr>
      <w:rFonts w:cs="Miriam"/>
      <w:sz w:val="26"/>
      <w:szCs w:val="26"/>
    </w:rPr>
  </w:style>
  <w:style w:type="paragraph" w:styleId="ListParagraph">
    <w:name w:val="List Paragraph"/>
    <w:basedOn w:val="Normal"/>
    <w:uiPriority w:val="34"/>
    <w:qFormat/>
    <w:rsid w:val="003315C3"/>
    <w:pPr>
      <w:ind w:left="720"/>
      <w:contextualSpacing/>
    </w:pPr>
  </w:style>
  <w:style w:type="paragraph" w:customStyle="1" w:styleId="BodytextAgency">
    <w:name w:val="Body text (Agency)"/>
    <w:basedOn w:val="Normal"/>
    <w:link w:val="BodytextAgencyChar"/>
    <w:rsid w:val="001C4B5B"/>
    <w:pPr>
      <w:bidi w:val="0"/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BodytextAgencyChar">
    <w:name w:val="Body text (Agency) Char"/>
    <w:link w:val="BodytextAgency"/>
    <w:rsid w:val="001C4B5B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CSIchar">
    <w:name w:val="CSIchar"/>
    <w:rsid w:val="001C4B5B"/>
    <w:rPr>
      <w:bdr w:val="none" w:sz="0" w:space="0" w:color="auto"/>
      <w:shd w:val="clear" w:color="auto" w:fill="CCCCCC"/>
    </w:rPr>
  </w:style>
  <w:style w:type="character" w:styleId="CommentReference">
    <w:name w:val="annotation reference"/>
    <w:semiHidden/>
    <w:rsid w:val="002F13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30D"/>
    <w:pPr>
      <w:bidi w:val="0"/>
    </w:pPr>
    <w:rPr>
      <w:rFonts w:cs="Times New Roman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2F130D"/>
    <w:rPr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164587116</AutoNumber>
    <REQUESTNUMBER xmlns="43f5c83f-d7ad-4276-a107-8019a824ecd5">99331,99332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103608,103608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</REQUESTTYPE>
    <UCOMMENTS xmlns="43f5c83f-d7ad-4276-a107-8019a824ecd5">טופס החמרות לעלון לרופא 07.14</UCOMMENTS>
    <OWNER xmlns="43f5c83f-d7ad-4276-a107-8019a824ecd5">636,636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70</DOCUMENTTYPE>
    <LANGUAGE xmlns="43f5c83f-d7ad-4276-a107-8019a824ecd5">_</LANGUAGE>
    <FILEEXT xmlns="43f5c83f-d7ad-4276-a107-8019a824ecd5">docx</FILEEXT>
    <SAPNAME xmlns="43f5c83f-d7ad-4276-a107-8019a824ecd5">357</SAPNAME>
    <SDDocumentSource xmlns="43f5c83f-d7ad-4276-a107-8019a824ecd5" xsi:nil="true"/>
    <SDImportance xmlns="43f5c83f-d7ad-4276-a107-8019a824ecd5" xsi:nil="true"/>
    <REGISTRATIONNUMBER xmlns="43f5c83f-d7ad-4276-a107-8019a824ecd5">3350100,3350800</REGISTRATIONNUMBER>
    <SDCategories xmlns="43f5c83f-d7ad-4276-a107-8019a824ecd5" xsi:nil="true"/>
    <SDDocDate xmlns="43f5c83f-d7ad-4276-a107-8019a824ecd5">1903-03-03T06:00:01+00:00</SDDocDate>
    <DRAGOBJID xmlns="43f5c83f-d7ad-4276-a107-8019a824ecd5">3350100,3350800</DRAGOBJID>
    <mossuploaddate xmlns="43f5c83f-d7ad-4276-a107-8019a824ecd5">2014-07-30 15:18:43</mossuploaddate>
    <SDExternalEntityConnected xmlns="43f5c83f-d7ad-4276-a107-8019a824ec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1ABBC-6CA9-4F37-875F-CACA49A4C8D4}"/>
</file>

<file path=customXml/itemProps2.xml><?xml version="1.0" encoding="utf-8"?>
<ds:datastoreItem xmlns:ds="http://schemas.openxmlformats.org/officeDocument/2006/customXml" ds:itemID="{2C0A1190-6FB2-485F-BDA4-F44971349BFF}"/>
</file>

<file path=customXml/itemProps3.xml><?xml version="1.0" encoding="utf-8"?>
<ds:datastoreItem xmlns:ds="http://schemas.openxmlformats.org/officeDocument/2006/customXml" ds:itemID="{65FB1E2C-B4CE-4EF7-BE8F-A98A04B0E946}"/>
</file>

<file path=customXml/itemProps4.xml><?xml version="1.0" encoding="utf-8"?>
<ds:datastoreItem xmlns:ds="http://schemas.openxmlformats.org/officeDocument/2006/customXml" ds:itemID="{ABAD69E5-0C23-4482-AA79-A94BE7683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arzerra 100mg 1000mg spc worsening 07.14</dc:title>
  <dc:creator>hy47755</dc:creator>
  <cp:lastModifiedBy>itt29650</cp:lastModifiedBy>
  <cp:revision>4</cp:revision>
  <cp:lastPrinted>2011-07-31T14:11:00Z</cp:lastPrinted>
  <dcterms:created xsi:type="dcterms:W3CDTF">2014-07-02T06:53:00Z</dcterms:created>
  <dcterms:modified xsi:type="dcterms:W3CDTF">2014-07-03T07:46:00Z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_INDICATION">
    <vt:lpwstr>1</vt:lpwstr>
  </property>
  <property fmtid="{D5CDD505-2E9C-101B-9397-08002B2CF9AE}" pid="3" name="DOCM_CREATION_DATE">
    <vt:lpwstr>null</vt:lpwstr>
  </property>
  <property fmtid="{D5CDD505-2E9C-101B-9397-08002B2CF9AE}" pid="4" name="ContentTypeId">
    <vt:lpwstr>0x0101003087E69DB9DC9043B61CAF33AD2347EC02001CBDDCEF83C24E4BB60E8B2AD3F1B4C6</vt:lpwstr>
  </property>
</Properties>
</file>