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3278" w:rsidRPr="00204FDA" w:rsidRDefault="00013278" w:rsidP="00013278">
      <w:pPr>
        <w:pStyle w:val="1"/>
        <w:bidi w:val="0"/>
        <w:ind w:left="-285" w:right="-142" w:firstLine="285"/>
        <w:rPr>
          <w:rFonts w:cs="David Transparent"/>
          <w:color w:val="C0C0C0"/>
          <w:u w:val="none"/>
          <w:shd w:val="clear" w:color="auto" w:fill="000000"/>
          <w:rtl/>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204FDA">
        <w:rPr>
          <w:rFonts w:cs="David Transparent"/>
          <w:color w:val="C0C0C0"/>
          <w:u w:val="none"/>
          <w:shd w:val="clear" w:color="auto" w:fill="000000"/>
          <w:rtl/>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הודעה על החמרה  ( מידע בטיחות)  בעלון לרופא</w:t>
      </w:r>
    </w:p>
    <w:p w:rsidR="00013278" w:rsidRPr="00013278" w:rsidRDefault="00013278" w:rsidP="00013278">
      <w:pPr>
        <w:bidi w:val="0"/>
        <w:rPr>
          <w:rFonts w:cs="David"/>
          <w:b/>
          <w:bCs/>
          <w:rtl/>
          <w:lang w:eastAsia="he-IL"/>
        </w:rPr>
      </w:pPr>
    </w:p>
    <w:p w:rsidR="00013278" w:rsidRPr="00013278" w:rsidRDefault="00013278" w:rsidP="00E96E68">
      <w:pPr>
        <w:spacing w:line="360" w:lineRule="auto"/>
        <w:rPr>
          <w:rFonts w:cs="David Transparent"/>
          <w:b/>
          <w:bCs/>
          <w:szCs w:val="28"/>
          <w:lang w:eastAsia="he-IL"/>
        </w:rPr>
      </w:pPr>
      <w:r w:rsidRPr="00013278">
        <w:rPr>
          <w:rFonts w:cs="David Transparent"/>
          <w:b/>
          <w:bCs/>
          <w:szCs w:val="28"/>
          <w:rtl/>
          <w:lang w:eastAsia="he-IL"/>
        </w:rPr>
        <w:t>תאריך    __</w:t>
      </w:r>
      <w:r w:rsidR="00BB6588">
        <w:rPr>
          <w:rFonts w:cs="David Transparent" w:hint="cs"/>
          <w:b/>
          <w:bCs/>
          <w:szCs w:val="28"/>
          <w:rtl/>
          <w:lang w:eastAsia="he-IL"/>
        </w:rPr>
        <w:t>0</w:t>
      </w:r>
      <w:r w:rsidR="00E96E68">
        <w:rPr>
          <w:rFonts w:cs="David Transparent" w:hint="cs"/>
          <w:b/>
          <w:bCs/>
          <w:szCs w:val="28"/>
          <w:rtl/>
          <w:lang w:eastAsia="he-IL"/>
        </w:rPr>
        <w:t>4</w:t>
      </w:r>
      <w:r w:rsidR="00BB6588">
        <w:rPr>
          <w:rFonts w:cs="David Transparent" w:hint="cs"/>
          <w:b/>
          <w:bCs/>
          <w:szCs w:val="28"/>
          <w:rtl/>
          <w:lang w:eastAsia="he-IL"/>
        </w:rPr>
        <w:t>.02</w:t>
      </w:r>
      <w:r w:rsidR="009E476B">
        <w:rPr>
          <w:rFonts w:cs="David Transparent" w:hint="cs"/>
          <w:b/>
          <w:bCs/>
          <w:szCs w:val="28"/>
          <w:rtl/>
          <w:lang w:eastAsia="he-IL"/>
        </w:rPr>
        <w:t>.1</w:t>
      </w:r>
      <w:r w:rsidR="00BB6588">
        <w:rPr>
          <w:rFonts w:cs="David Transparent" w:hint="cs"/>
          <w:b/>
          <w:bCs/>
          <w:szCs w:val="28"/>
          <w:rtl/>
          <w:lang w:eastAsia="he-IL"/>
        </w:rPr>
        <w:t>4</w:t>
      </w:r>
      <w:r w:rsidRPr="00013278">
        <w:rPr>
          <w:rFonts w:cs="David Transparent"/>
          <w:b/>
          <w:bCs/>
          <w:szCs w:val="28"/>
          <w:rtl/>
          <w:lang w:eastAsia="he-IL"/>
        </w:rPr>
        <w:t>_______</w:t>
      </w:r>
    </w:p>
    <w:p w:rsidR="00013278" w:rsidRPr="00013278" w:rsidRDefault="00013278" w:rsidP="00013278">
      <w:pPr>
        <w:spacing w:line="360" w:lineRule="auto"/>
        <w:rPr>
          <w:rFonts w:cs="David Transparent"/>
          <w:b/>
          <w:bCs/>
          <w:szCs w:val="28"/>
          <w:rtl/>
          <w:lang w:eastAsia="he-IL"/>
        </w:rPr>
      </w:pPr>
      <w:r w:rsidRPr="00013278">
        <w:rPr>
          <w:rFonts w:cs="David Transparent"/>
          <w:b/>
          <w:bCs/>
          <w:szCs w:val="28"/>
          <w:rtl/>
          <w:lang w:eastAsia="he-IL"/>
        </w:rPr>
        <w:t xml:space="preserve">שם תכשיר באנגלית </w:t>
      </w:r>
      <w:r w:rsidR="00C46B33">
        <w:rPr>
          <w:rFonts w:cs="David Transparent" w:hint="cs"/>
          <w:b/>
          <w:bCs/>
          <w:szCs w:val="28"/>
          <w:rtl/>
          <w:lang w:eastAsia="he-IL"/>
        </w:rPr>
        <w:t>ומספר הרישום</w:t>
      </w:r>
      <w:r w:rsidRPr="00013278">
        <w:rPr>
          <w:rFonts w:cs="David Transparent"/>
          <w:b/>
          <w:bCs/>
          <w:szCs w:val="28"/>
          <w:rtl/>
          <w:lang w:eastAsia="he-IL"/>
        </w:rPr>
        <w:t xml:space="preserve">   _</w:t>
      </w:r>
      <w:r w:rsidR="00687EE0" w:rsidRPr="00F2042B">
        <w:rPr>
          <w:rFonts w:cs="David Transparent"/>
          <w:b/>
          <w:bCs/>
          <w:szCs w:val="28"/>
          <w:u w:val="single"/>
        </w:rPr>
        <w:t>1256728020</w:t>
      </w:r>
      <w:r w:rsidRPr="00013278">
        <w:rPr>
          <w:rFonts w:cs="David Transparent"/>
          <w:b/>
          <w:bCs/>
          <w:szCs w:val="28"/>
          <w:rtl/>
          <w:lang w:eastAsia="he-IL"/>
        </w:rPr>
        <w:t>_</w:t>
      </w:r>
      <w:proofErr w:type="spellStart"/>
      <w:r w:rsidR="009E476B">
        <w:rPr>
          <w:rFonts w:cs="David Transparent"/>
          <w:b/>
          <w:bCs/>
          <w:szCs w:val="28"/>
          <w:lang w:eastAsia="he-IL"/>
        </w:rPr>
        <w:t>Ferrlecit</w:t>
      </w:r>
      <w:proofErr w:type="spellEnd"/>
      <w:r w:rsidR="009E476B">
        <w:rPr>
          <w:rFonts w:cs="David Transparent"/>
          <w:b/>
          <w:bCs/>
          <w:szCs w:val="28"/>
          <w:lang w:eastAsia="he-IL"/>
        </w:rPr>
        <w:t xml:space="preserve"> </w:t>
      </w:r>
      <w:r w:rsidRPr="00013278">
        <w:rPr>
          <w:rFonts w:cs="David Transparent"/>
          <w:b/>
          <w:bCs/>
          <w:szCs w:val="28"/>
          <w:rtl/>
          <w:lang w:eastAsia="he-IL"/>
        </w:rPr>
        <w:t>__________</w:t>
      </w:r>
    </w:p>
    <w:p w:rsidR="00013278" w:rsidRPr="00013278" w:rsidRDefault="00013278" w:rsidP="00013278">
      <w:pPr>
        <w:spacing w:line="360" w:lineRule="auto"/>
        <w:rPr>
          <w:rFonts w:cs="David Transparent"/>
          <w:b/>
          <w:bCs/>
          <w:szCs w:val="28"/>
          <w:u w:val="single"/>
          <w:rtl/>
          <w:lang w:eastAsia="he-IL"/>
        </w:rPr>
      </w:pPr>
      <w:r w:rsidRPr="00013278">
        <w:rPr>
          <w:rFonts w:cs="David Transparent"/>
          <w:b/>
          <w:bCs/>
          <w:szCs w:val="28"/>
          <w:rtl/>
          <w:lang w:eastAsia="he-IL"/>
        </w:rPr>
        <w:t xml:space="preserve">שם בעל הרישום     </w:t>
      </w:r>
      <w:proofErr w:type="spellStart"/>
      <w:r w:rsidRPr="00013278">
        <w:rPr>
          <w:rFonts w:cs="David Transparent"/>
          <w:b/>
          <w:bCs/>
          <w:szCs w:val="28"/>
          <w:u w:val="single"/>
          <w:lang w:eastAsia="he-IL"/>
        </w:rPr>
        <w:t>sanofi</w:t>
      </w:r>
      <w:proofErr w:type="spellEnd"/>
      <w:r w:rsidRPr="00013278">
        <w:rPr>
          <w:rFonts w:cs="David Transparent"/>
          <w:b/>
          <w:bCs/>
          <w:szCs w:val="28"/>
          <w:u w:val="single"/>
          <w:lang w:eastAsia="he-IL"/>
        </w:rPr>
        <w:t xml:space="preserve"> </w:t>
      </w:r>
      <w:proofErr w:type="spellStart"/>
      <w:r w:rsidRPr="00013278">
        <w:rPr>
          <w:rFonts w:cs="David Transparent"/>
          <w:b/>
          <w:bCs/>
          <w:szCs w:val="28"/>
          <w:u w:val="single"/>
          <w:lang w:eastAsia="he-IL"/>
        </w:rPr>
        <w:t>aventis</w:t>
      </w:r>
      <w:proofErr w:type="spellEnd"/>
      <w:r w:rsidRPr="00013278">
        <w:rPr>
          <w:rFonts w:cs="David Transparent"/>
          <w:b/>
          <w:bCs/>
          <w:szCs w:val="28"/>
          <w:u w:val="single"/>
          <w:lang w:eastAsia="he-IL"/>
        </w:rPr>
        <w:t xml:space="preserve"> Israel ltd</w:t>
      </w:r>
    </w:p>
    <w:p w:rsidR="00013278" w:rsidRPr="00013278" w:rsidRDefault="00694C9A" w:rsidP="00694C9A">
      <w:pPr>
        <w:autoSpaceDE w:val="0"/>
        <w:autoSpaceDN w:val="0"/>
        <w:spacing w:before="120" w:after="120"/>
        <w:ind w:left="72"/>
        <w:rPr>
          <w:rFonts w:ascii="Arial" w:eastAsia="MS Mincho" w:hAnsi="Arial" w:cs="Arial"/>
          <w:b/>
          <w:bCs/>
          <w:lang w:val="en-GB" w:eastAsia="de-DE"/>
        </w:rPr>
      </w:pPr>
      <w:r>
        <w:rPr>
          <w:rFonts w:cs="Arial" w:hint="cs"/>
          <w:b/>
          <w:bCs/>
          <w:highlight w:val="lightGray"/>
          <w:rtl/>
          <w:lang w:val="en-GB" w:eastAsia="de-DE"/>
        </w:rPr>
        <w:t>בטופס</w:t>
      </w:r>
      <w:r w:rsidR="00013278" w:rsidRPr="00764C14">
        <w:rPr>
          <w:rFonts w:cs="Arial"/>
          <w:b/>
          <w:bCs/>
          <w:highlight w:val="lightGray"/>
          <w:rtl/>
          <w:lang w:val="en-GB" w:eastAsia="de-DE"/>
        </w:rPr>
        <w:t xml:space="preserve"> מוזכרים רק תתי הסעיפים שבהם נעשו שינויים במידע בטיחות, מידע מלא ניתן למצוא בעלון המלא</w:t>
      </w:r>
      <w:r>
        <w:rPr>
          <w:rFonts w:cs="Arial" w:hint="cs"/>
          <w:b/>
          <w:bCs/>
          <w:rtl/>
          <w:lang w:val="en-GB" w:eastAsia="de-DE"/>
        </w:rPr>
        <w:t>.</w:t>
      </w:r>
    </w:p>
    <w:p w:rsidR="00013278" w:rsidRPr="00694C9A" w:rsidRDefault="00694C9A" w:rsidP="00694C9A">
      <w:pPr>
        <w:spacing w:line="360" w:lineRule="auto"/>
        <w:jc w:val="center"/>
        <w:rPr>
          <w:rFonts w:cs="David Transparent"/>
          <w:b/>
          <w:bCs/>
          <w:color w:val="FF0000"/>
          <w:szCs w:val="28"/>
          <w:rtl/>
          <w:lang w:eastAsia="he-IL"/>
        </w:rPr>
      </w:pPr>
      <w:r w:rsidRPr="00694C9A">
        <w:rPr>
          <w:rFonts w:cs="David Transparent" w:hint="cs"/>
          <w:b/>
          <w:bCs/>
          <w:color w:val="FF0000"/>
          <w:szCs w:val="28"/>
          <w:rtl/>
          <w:lang w:eastAsia="he-IL"/>
        </w:rPr>
        <w:t xml:space="preserve">טופס זה מיועד לפרוט </w:t>
      </w:r>
      <w:proofErr w:type="spellStart"/>
      <w:r w:rsidRPr="00694C9A">
        <w:rPr>
          <w:rFonts w:cs="David Transparent" w:hint="cs"/>
          <w:b/>
          <w:bCs/>
          <w:color w:val="FF0000"/>
          <w:szCs w:val="28"/>
          <w:rtl/>
          <w:lang w:eastAsia="he-IL"/>
        </w:rPr>
        <w:t>ההחמרות</w:t>
      </w:r>
      <w:proofErr w:type="spellEnd"/>
      <w:r w:rsidRPr="00694C9A">
        <w:rPr>
          <w:rFonts w:cs="David Transparent" w:hint="cs"/>
          <w:b/>
          <w:bCs/>
          <w:color w:val="FF0000"/>
          <w:szCs w:val="28"/>
          <w:rtl/>
          <w:lang w:eastAsia="he-IL"/>
        </w:rPr>
        <w:t xml:space="preserve"> בלבד!</w:t>
      </w:r>
    </w:p>
    <w:tbl>
      <w:tblPr>
        <w:bidiVisual/>
        <w:tblW w:w="9387" w:type="dxa"/>
        <w:tblInd w:w="-4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16"/>
        <w:gridCol w:w="1417"/>
        <w:gridCol w:w="5954"/>
      </w:tblGrid>
      <w:tr w:rsidR="00013278" w:rsidRPr="00013278" w:rsidTr="00FC0DB5">
        <w:trPr>
          <w:cantSplit/>
        </w:trPr>
        <w:tc>
          <w:tcPr>
            <w:tcW w:w="9387" w:type="dxa"/>
            <w:gridSpan w:val="3"/>
            <w:shd w:val="pct12" w:color="auto" w:fill="FFFFFF"/>
          </w:tcPr>
          <w:p w:rsidR="00013278" w:rsidRPr="00036334" w:rsidRDefault="00036334" w:rsidP="00013278">
            <w:pPr>
              <w:bidi w:val="0"/>
              <w:jc w:val="center"/>
              <w:rPr>
                <w:rFonts w:cs="David Transparent"/>
                <w:b/>
                <w:bCs/>
                <w:sz w:val="32"/>
                <w:szCs w:val="32"/>
                <w:rtl/>
                <w:lang w:eastAsia="he-IL"/>
              </w:rPr>
            </w:pPr>
            <w:proofErr w:type="spellStart"/>
            <w:r w:rsidRPr="00036334">
              <w:rPr>
                <w:rFonts w:cs="David Transparent" w:hint="cs"/>
                <w:b/>
                <w:bCs/>
                <w:sz w:val="32"/>
                <w:szCs w:val="32"/>
                <w:rtl/>
                <w:lang w:eastAsia="he-IL"/>
              </w:rPr>
              <w:t>ההחמרות</w:t>
            </w:r>
            <w:proofErr w:type="spellEnd"/>
            <w:r w:rsidRPr="00036334">
              <w:rPr>
                <w:rFonts w:cs="David Transparent" w:hint="cs"/>
                <w:b/>
                <w:bCs/>
                <w:sz w:val="32"/>
                <w:szCs w:val="32"/>
                <w:rtl/>
                <w:lang w:eastAsia="he-IL"/>
              </w:rPr>
              <w:t xml:space="preserve"> המבוקשות</w:t>
            </w:r>
          </w:p>
        </w:tc>
      </w:tr>
      <w:tr w:rsidR="00013278" w:rsidRPr="00013278" w:rsidTr="00005C07">
        <w:tc>
          <w:tcPr>
            <w:tcW w:w="2016" w:type="dxa"/>
          </w:tcPr>
          <w:p w:rsidR="00013278" w:rsidRPr="00013278" w:rsidRDefault="00013278" w:rsidP="00013278">
            <w:pPr>
              <w:bidi w:val="0"/>
              <w:rPr>
                <w:rFonts w:cs="David Transparent"/>
                <w:b/>
                <w:bCs/>
                <w:sz w:val="20"/>
                <w:szCs w:val="20"/>
                <w:rtl/>
                <w:lang w:eastAsia="he-IL"/>
              </w:rPr>
            </w:pPr>
          </w:p>
          <w:p w:rsidR="00013278" w:rsidRPr="00013278" w:rsidRDefault="00013278" w:rsidP="00013278">
            <w:pPr>
              <w:bidi w:val="0"/>
              <w:jc w:val="center"/>
              <w:rPr>
                <w:rFonts w:cs="David Transparent"/>
                <w:b/>
                <w:bCs/>
                <w:sz w:val="20"/>
                <w:szCs w:val="20"/>
                <w:rtl/>
                <w:lang w:eastAsia="he-IL"/>
              </w:rPr>
            </w:pPr>
            <w:r w:rsidRPr="00013278">
              <w:rPr>
                <w:rFonts w:cs="David Transparent"/>
                <w:b/>
                <w:bCs/>
                <w:sz w:val="20"/>
                <w:szCs w:val="20"/>
                <w:rtl/>
                <w:lang w:eastAsia="he-IL"/>
              </w:rPr>
              <w:t>פרק בעלון</w:t>
            </w:r>
          </w:p>
          <w:p w:rsidR="00013278" w:rsidRPr="00013278" w:rsidRDefault="00013278" w:rsidP="00013278">
            <w:pPr>
              <w:bidi w:val="0"/>
              <w:rPr>
                <w:rFonts w:cs="David Transparent"/>
                <w:b/>
                <w:bCs/>
                <w:sz w:val="20"/>
                <w:szCs w:val="20"/>
                <w:rtl/>
                <w:lang w:eastAsia="he-IL"/>
              </w:rPr>
            </w:pPr>
          </w:p>
        </w:tc>
        <w:tc>
          <w:tcPr>
            <w:tcW w:w="1417" w:type="dxa"/>
          </w:tcPr>
          <w:p w:rsidR="00013278" w:rsidRPr="00013278" w:rsidRDefault="00013278" w:rsidP="00013278">
            <w:pPr>
              <w:bidi w:val="0"/>
              <w:rPr>
                <w:rFonts w:cs="David Transparent"/>
                <w:b/>
                <w:bCs/>
                <w:szCs w:val="22"/>
                <w:rtl/>
                <w:lang w:eastAsia="he-IL"/>
              </w:rPr>
            </w:pPr>
          </w:p>
          <w:p w:rsidR="00013278" w:rsidRPr="00013278" w:rsidRDefault="00013278" w:rsidP="00013278">
            <w:pPr>
              <w:bidi w:val="0"/>
              <w:jc w:val="center"/>
              <w:rPr>
                <w:rFonts w:cs="David Transparent"/>
                <w:b/>
                <w:bCs/>
                <w:szCs w:val="22"/>
                <w:rtl/>
                <w:lang w:eastAsia="he-IL"/>
              </w:rPr>
            </w:pPr>
            <w:r w:rsidRPr="00013278">
              <w:rPr>
                <w:rFonts w:cs="David Transparent"/>
                <w:b/>
                <w:bCs/>
                <w:szCs w:val="22"/>
                <w:rtl/>
                <w:lang w:eastAsia="he-IL"/>
              </w:rPr>
              <w:t>טקסט נוכחי</w:t>
            </w:r>
          </w:p>
        </w:tc>
        <w:tc>
          <w:tcPr>
            <w:tcW w:w="5954" w:type="dxa"/>
          </w:tcPr>
          <w:p w:rsidR="00013278" w:rsidRPr="00013278" w:rsidRDefault="00013278" w:rsidP="00013278">
            <w:pPr>
              <w:bidi w:val="0"/>
              <w:rPr>
                <w:rFonts w:cs="David Transparent"/>
                <w:b/>
                <w:bCs/>
                <w:szCs w:val="22"/>
                <w:rtl/>
                <w:lang w:eastAsia="he-IL"/>
              </w:rPr>
            </w:pPr>
          </w:p>
          <w:p w:rsidR="00013278" w:rsidRPr="00013278" w:rsidRDefault="00013278" w:rsidP="00013278">
            <w:pPr>
              <w:bidi w:val="0"/>
              <w:jc w:val="center"/>
              <w:rPr>
                <w:rFonts w:cs="David Transparent"/>
                <w:b/>
                <w:bCs/>
                <w:szCs w:val="22"/>
                <w:rtl/>
                <w:lang w:eastAsia="he-IL"/>
              </w:rPr>
            </w:pPr>
            <w:r w:rsidRPr="00013278">
              <w:rPr>
                <w:rFonts w:cs="David Transparent"/>
                <w:b/>
                <w:bCs/>
                <w:szCs w:val="22"/>
                <w:rtl/>
                <w:lang w:eastAsia="he-IL"/>
              </w:rPr>
              <w:t>טקסט חדש</w:t>
            </w:r>
          </w:p>
        </w:tc>
      </w:tr>
      <w:tr w:rsidR="00013278" w:rsidRPr="00013278" w:rsidTr="00005C07">
        <w:trPr>
          <w:trHeight w:val="340"/>
        </w:trPr>
        <w:tc>
          <w:tcPr>
            <w:tcW w:w="2016" w:type="dxa"/>
            <w:vAlign w:val="center"/>
          </w:tcPr>
          <w:p w:rsidR="00013278" w:rsidRPr="00013278" w:rsidRDefault="00945749" w:rsidP="00945749">
            <w:pPr>
              <w:bidi w:val="0"/>
              <w:jc w:val="both"/>
              <w:rPr>
                <w:rFonts w:ascii="Tahoma" w:hAnsi="Tahoma" w:cs="Tahoma"/>
                <w:b/>
                <w:bCs/>
                <w:sz w:val="20"/>
                <w:szCs w:val="20"/>
                <w:lang w:eastAsia="he-IL"/>
              </w:rPr>
            </w:pPr>
            <w:r>
              <w:rPr>
                <w:rFonts w:ascii="Tahoma" w:hAnsi="Tahoma" w:cs="Tahoma"/>
                <w:b/>
                <w:bCs/>
                <w:sz w:val="20"/>
                <w:szCs w:val="20"/>
                <w:u w:val="single"/>
                <w:lang w:eastAsia="he-IL"/>
              </w:rPr>
              <w:t>Name of the medicinal product</w:t>
            </w:r>
          </w:p>
        </w:tc>
        <w:tc>
          <w:tcPr>
            <w:tcW w:w="1417" w:type="dxa"/>
            <w:vAlign w:val="center"/>
          </w:tcPr>
          <w:p w:rsidR="00013278" w:rsidRPr="00013278" w:rsidRDefault="00013278" w:rsidP="00013278">
            <w:pPr>
              <w:bidi w:val="0"/>
              <w:rPr>
                <w:rFonts w:cs="David"/>
                <w:lang w:eastAsia="he-IL"/>
              </w:rPr>
            </w:pPr>
          </w:p>
        </w:tc>
        <w:tc>
          <w:tcPr>
            <w:tcW w:w="5954" w:type="dxa"/>
            <w:vAlign w:val="center"/>
          </w:tcPr>
          <w:p w:rsidR="00E21730" w:rsidRDefault="00E21730" w:rsidP="00E07CE3">
            <w:pPr>
              <w:widowControl w:val="0"/>
              <w:bidi w:val="0"/>
              <w:rPr>
                <w:rFonts w:ascii="Arial" w:eastAsia="MS Mincho" w:hAnsi="Arial" w:cs="Arial"/>
                <w:sz w:val="20"/>
                <w:szCs w:val="20"/>
                <w:highlight w:val="yellow"/>
                <w:u w:val="single"/>
                <w:lang w:bidi="ar-SA"/>
              </w:rPr>
            </w:pPr>
          </w:p>
          <w:p w:rsidR="00C31F51" w:rsidRPr="00C31F51" w:rsidRDefault="00C31F51" w:rsidP="00E21730">
            <w:pPr>
              <w:widowControl w:val="0"/>
              <w:bidi w:val="0"/>
              <w:rPr>
                <w:rFonts w:ascii="Arial" w:eastAsia="MS Mincho" w:hAnsi="Arial" w:cs="Arial"/>
                <w:sz w:val="20"/>
                <w:szCs w:val="20"/>
                <w:highlight w:val="yellow"/>
                <w:u w:val="single"/>
                <w:lang w:bidi="ar-SA"/>
              </w:rPr>
            </w:pPr>
            <w:r w:rsidRPr="00C31F51">
              <w:rPr>
                <w:rFonts w:ascii="Arial" w:eastAsia="MS Mincho" w:hAnsi="Arial" w:cs="Arial"/>
                <w:sz w:val="20"/>
                <w:szCs w:val="20"/>
                <w:highlight w:val="yellow"/>
                <w:u w:val="single"/>
                <w:lang w:bidi="ar-SA"/>
              </w:rPr>
              <w:t>This medicinal product is subject to additional monitoring. This will allow quick identification of new safety information. Healthcare professionals ar</w:t>
            </w:r>
            <w:r w:rsidR="00E07CE3">
              <w:rPr>
                <w:rFonts w:ascii="Arial" w:eastAsia="MS Mincho" w:hAnsi="Arial" w:cs="Arial"/>
                <w:sz w:val="20"/>
                <w:szCs w:val="20"/>
                <w:highlight w:val="yellow"/>
                <w:u w:val="single"/>
                <w:lang w:bidi="ar-SA"/>
              </w:rPr>
              <w:t xml:space="preserve">e asked to report any suspected </w:t>
            </w:r>
            <w:r w:rsidRPr="00C31F51">
              <w:rPr>
                <w:rFonts w:ascii="Arial" w:eastAsia="MS Mincho" w:hAnsi="Arial" w:cs="Arial"/>
                <w:sz w:val="20"/>
                <w:szCs w:val="20"/>
                <w:highlight w:val="yellow"/>
                <w:u w:val="single"/>
                <w:lang w:bidi="ar-SA"/>
              </w:rPr>
              <w:t xml:space="preserve">adverse reactions. </w:t>
            </w:r>
          </w:p>
          <w:p w:rsidR="00013278" w:rsidRPr="00013278" w:rsidRDefault="00013278" w:rsidP="00013278">
            <w:pPr>
              <w:tabs>
                <w:tab w:val="left" w:pos="601"/>
              </w:tabs>
              <w:bidi w:val="0"/>
              <w:ind w:left="601"/>
              <w:rPr>
                <w:rFonts w:ascii="Tahoma" w:hAnsi="Tahoma" w:cs="Tahoma"/>
                <w:b/>
                <w:bCs/>
                <w:sz w:val="18"/>
                <w:szCs w:val="18"/>
                <w:rtl/>
                <w:lang w:eastAsia="he-IL"/>
              </w:rPr>
            </w:pPr>
          </w:p>
        </w:tc>
      </w:tr>
      <w:tr w:rsidR="00013278" w:rsidRPr="00013278" w:rsidTr="00005C07">
        <w:trPr>
          <w:trHeight w:val="340"/>
        </w:trPr>
        <w:tc>
          <w:tcPr>
            <w:tcW w:w="2016" w:type="dxa"/>
            <w:vAlign w:val="center"/>
          </w:tcPr>
          <w:p w:rsidR="00C31F51" w:rsidRPr="00C31F51" w:rsidRDefault="00C31F51" w:rsidP="00C31F51">
            <w:pPr>
              <w:autoSpaceDE w:val="0"/>
              <w:autoSpaceDN w:val="0"/>
              <w:bidi w:val="0"/>
              <w:adjustRightInd w:val="0"/>
              <w:jc w:val="center"/>
              <w:rPr>
                <w:rFonts w:ascii="Tahoma" w:hAnsi="Tahoma" w:cs="Tahoma"/>
                <w:b/>
                <w:bCs/>
                <w:sz w:val="20"/>
                <w:szCs w:val="20"/>
                <w:u w:val="single"/>
                <w:lang w:eastAsia="he-IL"/>
              </w:rPr>
            </w:pPr>
            <w:r w:rsidRPr="00C31F51">
              <w:rPr>
                <w:rFonts w:ascii="Tahoma" w:hAnsi="Tahoma" w:cs="Tahoma"/>
                <w:b/>
                <w:bCs/>
                <w:sz w:val="20"/>
                <w:szCs w:val="20"/>
                <w:u w:val="single"/>
                <w:lang w:eastAsia="he-IL"/>
              </w:rPr>
              <w:t>Therapeutic indications</w:t>
            </w:r>
          </w:p>
          <w:p w:rsidR="00013278" w:rsidRPr="00013278" w:rsidRDefault="00013278" w:rsidP="00013278">
            <w:pPr>
              <w:bidi w:val="0"/>
              <w:spacing w:line="480" w:lineRule="auto"/>
              <w:jc w:val="both"/>
              <w:rPr>
                <w:rFonts w:ascii="Tahoma" w:hAnsi="Tahoma" w:cs="Tahoma"/>
                <w:b/>
                <w:bCs/>
                <w:sz w:val="20"/>
                <w:szCs w:val="20"/>
                <w:lang w:eastAsia="he-IL"/>
              </w:rPr>
            </w:pPr>
          </w:p>
        </w:tc>
        <w:tc>
          <w:tcPr>
            <w:tcW w:w="1417" w:type="dxa"/>
            <w:vAlign w:val="center"/>
          </w:tcPr>
          <w:p w:rsidR="00013278" w:rsidRPr="00013278" w:rsidRDefault="00013278" w:rsidP="00013278">
            <w:pPr>
              <w:bidi w:val="0"/>
              <w:rPr>
                <w:rFonts w:cs="David"/>
                <w:lang w:eastAsia="he-IL"/>
              </w:rPr>
            </w:pPr>
          </w:p>
        </w:tc>
        <w:tc>
          <w:tcPr>
            <w:tcW w:w="5954" w:type="dxa"/>
            <w:vAlign w:val="center"/>
          </w:tcPr>
          <w:p w:rsidR="00C31F51" w:rsidRPr="008374D3" w:rsidRDefault="00C31F51" w:rsidP="00C31F51">
            <w:pPr>
              <w:pStyle w:val="Absatz06"/>
              <w:ind w:left="0"/>
              <w:rPr>
                <w:u w:val="single"/>
                <w:lang w:val="en-US"/>
              </w:rPr>
            </w:pPr>
            <w:proofErr w:type="spellStart"/>
            <w:r w:rsidRPr="00DC770B">
              <w:rPr>
                <w:highlight w:val="yellow"/>
                <w:u w:val="single"/>
                <w:lang w:val="en-US"/>
              </w:rPr>
              <w:t>Ferrlecit</w:t>
            </w:r>
            <w:proofErr w:type="spellEnd"/>
            <w:r w:rsidRPr="00DC770B">
              <w:rPr>
                <w:highlight w:val="yellow"/>
                <w:u w:val="single"/>
                <w:lang w:val="en-US"/>
              </w:rPr>
              <w:t xml:space="preserve"> is indicated in adults and children 6 years and above.</w:t>
            </w:r>
          </w:p>
          <w:p w:rsidR="00013278" w:rsidRPr="00C103BB" w:rsidRDefault="00C103BB" w:rsidP="00013278">
            <w:pPr>
              <w:bidi w:val="0"/>
              <w:jc w:val="both"/>
              <w:rPr>
                <w:rFonts w:ascii="Tahoma" w:hAnsi="Tahoma" w:cs="Tahoma"/>
                <w:color w:val="00B050"/>
                <w:sz w:val="18"/>
                <w:szCs w:val="18"/>
                <w:rtl/>
              </w:rPr>
            </w:pPr>
            <w:r w:rsidRPr="00C103BB">
              <w:rPr>
                <w:rFonts w:ascii="Tahoma" w:hAnsi="Tahoma" w:cs="Tahoma"/>
                <w:sz w:val="18"/>
                <w:szCs w:val="18"/>
              </w:rPr>
              <w:t>////////////</w:t>
            </w:r>
            <w:r w:rsidR="00201420">
              <w:rPr>
                <w:rFonts w:ascii="Tahoma" w:hAnsi="Tahoma" w:cs="Tahoma"/>
                <w:sz w:val="18"/>
                <w:szCs w:val="18"/>
              </w:rPr>
              <w:t>/////////////</w:t>
            </w:r>
          </w:p>
        </w:tc>
      </w:tr>
      <w:tr w:rsidR="00013278" w:rsidRPr="00013278" w:rsidTr="00005C07">
        <w:trPr>
          <w:trHeight w:val="340"/>
        </w:trPr>
        <w:tc>
          <w:tcPr>
            <w:tcW w:w="2016" w:type="dxa"/>
            <w:vAlign w:val="center"/>
          </w:tcPr>
          <w:p w:rsidR="00C31F51" w:rsidRPr="00C31F51" w:rsidRDefault="00C31F51" w:rsidP="00C31F51">
            <w:pPr>
              <w:autoSpaceDE w:val="0"/>
              <w:autoSpaceDN w:val="0"/>
              <w:bidi w:val="0"/>
              <w:adjustRightInd w:val="0"/>
              <w:jc w:val="center"/>
              <w:rPr>
                <w:rFonts w:ascii="Tahoma" w:hAnsi="Tahoma" w:cs="Tahoma"/>
                <w:b/>
                <w:sz w:val="20"/>
                <w:szCs w:val="20"/>
                <w:u w:val="single"/>
                <w:lang w:eastAsia="he-IL"/>
              </w:rPr>
            </w:pPr>
            <w:r w:rsidRPr="00C31F51">
              <w:rPr>
                <w:rFonts w:ascii="Tahoma" w:hAnsi="Tahoma" w:cs="Tahoma"/>
                <w:b/>
                <w:bCs/>
                <w:sz w:val="20"/>
                <w:szCs w:val="20"/>
                <w:u w:val="single"/>
                <w:lang w:eastAsia="he-IL"/>
              </w:rPr>
              <w:t>Posology and method of administration</w:t>
            </w:r>
          </w:p>
          <w:p w:rsidR="00013278" w:rsidRPr="00013278" w:rsidRDefault="00013278" w:rsidP="00013278">
            <w:pPr>
              <w:bidi w:val="0"/>
              <w:jc w:val="both"/>
              <w:rPr>
                <w:rFonts w:ascii="Arial Narrow" w:hAnsi="Arial Narrow" w:cs="David Transparent"/>
                <w:b/>
                <w:bCs/>
                <w:sz w:val="20"/>
                <w:szCs w:val="20"/>
                <w:lang w:eastAsia="he-IL"/>
              </w:rPr>
            </w:pPr>
          </w:p>
        </w:tc>
        <w:tc>
          <w:tcPr>
            <w:tcW w:w="1417" w:type="dxa"/>
            <w:vAlign w:val="center"/>
          </w:tcPr>
          <w:p w:rsidR="00013278" w:rsidRPr="00013278" w:rsidRDefault="00013278" w:rsidP="00013278">
            <w:pPr>
              <w:bidi w:val="0"/>
              <w:rPr>
                <w:rFonts w:cs="David"/>
                <w:lang w:eastAsia="he-IL"/>
              </w:rPr>
            </w:pPr>
          </w:p>
        </w:tc>
        <w:tc>
          <w:tcPr>
            <w:tcW w:w="5954" w:type="dxa"/>
            <w:vAlign w:val="center"/>
          </w:tcPr>
          <w:p w:rsidR="00AE4260" w:rsidRDefault="00AE4260" w:rsidP="00524EC4">
            <w:pPr>
              <w:bidi w:val="0"/>
              <w:ind w:right="73"/>
              <w:rPr>
                <w:rFonts w:ascii="Arial" w:eastAsia="MS Mincho" w:hAnsi="Arial" w:cs="Arial"/>
                <w:sz w:val="20"/>
                <w:szCs w:val="20"/>
                <w:highlight w:val="yellow"/>
                <w:u w:val="single"/>
                <w:lang w:val="en-GB" w:bidi="ar-SA"/>
              </w:rPr>
            </w:pPr>
          </w:p>
          <w:p w:rsidR="00AE4260" w:rsidRDefault="00AE4260" w:rsidP="00AE4260">
            <w:pPr>
              <w:bidi w:val="0"/>
              <w:ind w:right="73"/>
              <w:rPr>
                <w:rFonts w:ascii="Tahoma" w:hAnsi="Tahoma" w:cs="Tahoma"/>
                <w:sz w:val="18"/>
                <w:szCs w:val="18"/>
              </w:rPr>
            </w:pPr>
            <w:r w:rsidRPr="00C103BB">
              <w:rPr>
                <w:rFonts w:ascii="Tahoma" w:hAnsi="Tahoma" w:cs="Tahoma"/>
                <w:sz w:val="18"/>
                <w:szCs w:val="18"/>
              </w:rPr>
              <w:t>///////////</w:t>
            </w:r>
            <w:r w:rsidR="00201420">
              <w:rPr>
                <w:rFonts w:ascii="Tahoma" w:hAnsi="Tahoma" w:cs="Tahoma"/>
                <w:sz w:val="18"/>
                <w:szCs w:val="18"/>
              </w:rPr>
              <w:t>///////////////</w:t>
            </w:r>
          </w:p>
          <w:p w:rsidR="00AE4260" w:rsidRDefault="00AE4260" w:rsidP="00AE4260">
            <w:pPr>
              <w:bidi w:val="0"/>
              <w:ind w:right="73"/>
              <w:rPr>
                <w:rFonts w:ascii="Arial" w:eastAsia="MS Mincho" w:hAnsi="Arial" w:cs="Arial"/>
                <w:sz w:val="20"/>
                <w:szCs w:val="20"/>
                <w:highlight w:val="yellow"/>
                <w:u w:val="single"/>
                <w:lang w:val="en-GB" w:bidi="ar-SA"/>
              </w:rPr>
            </w:pPr>
          </w:p>
          <w:p w:rsidR="00C31F51" w:rsidRPr="00524EC4" w:rsidRDefault="00C31F51" w:rsidP="00AE4260">
            <w:pPr>
              <w:bidi w:val="0"/>
              <w:ind w:right="73"/>
              <w:rPr>
                <w:rFonts w:ascii="Arial" w:eastAsia="MS Mincho" w:hAnsi="Arial" w:cs="Arial"/>
                <w:sz w:val="20"/>
                <w:szCs w:val="20"/>
                <w:highlight w:val="yellow"/>
                <w:u w:val="single"/>
                <w:lang w:val="en-GB" w:bidi="ar-SA"/>
              </w:rPr>
            </w:pPr>
            <w:r w:rsidRPr="00C31F51">
              <w:rPr>
                <w:rFonts w:ascii="Arial" w:eastAsia="MS Mincho" w:hAnsi="Arial" w:cs="Arial"/>
                <w:sz w:val="20"/>
                <w:szCs w:val="20"/>
                <w:highlight w:val="yellow"/>
                <w:u w:val="single"/>
                <w:lang w:val="en-GB" w:bidi="ar-SA"/>
              </w:rPr>
              <w:t>Monitor carefully patients for signs and symptoms of hypersensitivity reactions during and</w:t>
            </w:r>
            <w:r w:rsidR="00524EC4">
              <w:rPr>
                <w:rFonts w:ascii="Arial" w:eastAsia="MS Mincho" w:hAnsi="Arial" w:cs="Arial"/>
                <w:sz w:val="20"/>
                <w:szCs w:val="20"/>
                <w:highlight w:val="yellow"/>
                <w:u w:val="single"/>
                <w:lang w:val="en-GB" w:bidi="ar-SA"/>
              </w:rPr>
              <w:t xml:space="preserve"> </w:t>
            </w:r>
            <w:r w:rsidRPr="00C31F51">
              <w:rPr>
                <w:rFonts w:ascii="Arial" w:eastAsia="MS Mincho" w:hAnsi="Arial" w:cs="Arial"/>
                <w:sz w:val="20"/>
                <w:szCs w:val="20"/>
                <w:highlight w:val="yellow"/>
                <w:u w:val="single"/>
                <w:lang w:val="en-GB" w:bidi="ar-SA"/>
              </w:rPr>
              <w:t xml:space="preserve">following each administration of </w:t>
            </w:r>
            <w:proofErr w:type="spellStart"/>
            <w:r w:rsidRPr="00C31F51">
              <w:rPr>
                <w:rFonts w:ascii="Arial" w:eastAsia="MS Mincho" w:hAnsi="Arial" w:cs="Arial"/>
                <w:sz w:val="20"/>
                <w:szCs w:val="20"/>
                <w:highlight w:val="yellow"/>
                <w:u w:val="single"/>
                <w:lang w:val="en-GB" w:bidi="ar-SA"/>
              </w:rPr>
              <w:t>Ferrlecit</w:t>
            </w:r>
            <w:proofErr w:type="spellEnd"/>
            <w:r w:rsidRPr="00C31F51">
              <w:rPr>
                <w:rFonts w:ascii="Arial" w:eastAsia="MS Mincho" w:hAnsi="Arial" w:cs="Arial"/>
                <w:sz w:val="20"/>
                <w:szCs w:val="20"/>
                <w:highlight w:val="yellow"/>
                <w:u w:val="single"/>
                <w:lang w:val="en-GB" w:bidi="ar-SA"/>
              </w:rPr>
              <w:t>.</w:t>
            </w:r>
          </w:p>
          <w:p w:rsidR="00C31F51" w:rsidRPr="00C31F51" w:rsidRDefault="00C31F51" w:rsidP="00C31F51">
            <w:pPr>
              <w:tabs>
                <w:tab w:val="left" w:pos="2761"/>
              </w:tabs>
              <w:bidi w:val="0"/>
              <w:rPr>
                <w:rFonts w:ascii="Arial" w:eastAsia="MS Mincho" w:hAnsi="Arial" w:cs="Arial"/>
                <w:sz w:val="20"/>
                <w:szCs w:val="20"/>
                <w:lang w:val="en-GB" w:bidi="ar-SA"/>
              </w:rPr>
            </w:pPr>
            <w:r w:rsidRPr="00C31F51">
              <w:rPr>
                <w:rFonts w:ascii="Arial" w:eastAsia="MS Mincho" w:hAnsi="Arial" w:cs="Arial"/>
                <w:sz w:val="20"/>
                <w:szCs w:val="20"/>
                <w:lang w:val="en-GB" w:bidi="ar-SA"/>
              </w:rPr>
              <w:tab/>
            </w:r>
          </w:p>
          <w:p w:rsidR="00C31F51" w:rsidRPr="00524EC4" w:rsidRDefault="00C31F51" w:rsidP="00524EC4">
            <w:pPr>
              <w:bidi w:val="0"/>
              <w:ind w:right="73"/>
              <w:rPr>
                <w:rFonts w:ascii="Arial" w:eastAsia="MS Mincho" w:hAnsi="Arial" w:cs="Arial"/>
                <w:sz w:val="20"/>
                <w:szCs w:val="20"/>
                <w:highlight w:val="yellow"/>
                <w:lang w:val="en-GB" w:bidi="ar-SA"/>
              </w:rPr>
            </w:pPr>
            <w:bookmarkStart w:id="0" w:name="OLE_LINK1"/>
            <w:proofErr w:type="spellStart"/>
            <w:r w:rsidRPr="00C31F51">
              <w:rPr>
                <w:rFonts w:ascii="Arial" w:eastAsia="MS Mincho" w:hAnsi="Arial" w:cs="Arial"/>
                <w:sz w:val="20"/>
                <w:szCs w:val="20"/>
                <w:highlight w:val="yellow"/>
                <w:lang w:val="en-GB" w:bidi="ar-SA"/>
              </w:rPr>
              <w:t>Ferrlecit</w:t>
            </w:r>
            <w:proofErr w:type="spellEnd"/>
            <w:r w:rsidRPr="00C31F51">
              <w:rPr>
                <w:rFonts w:ascii="Arial" w:eastAsia="MS Mincho" w:hAnsi="Arial" w:cs="Arial"/>
                <w:sz w:val="20"/>
                <w:szCs w:val="20"/>
                <w:highlight w:val="yellow"/>
                <w:lang w:val="en-GB" w:bidi="ar-SA"/>
              </w:rPr>
              <w:t xml:space="preserve"> should only be adm</w:t>
            </w:r>
            <w:r w:rsidR="00524EC4">
              <w:rPr>
                <w:rFonts w:ascii="Arial" w:eastAsia="MS Mincho" w:hAnsi="Arial" w:cs="Arial"/>
                <w:sz w:val="20"/>
                <w:szCs w:val="20"/>
                <w:highlight w:val="yellow"/>
                <w:lang w:val="en-GB" w:bidi="ar-SA"/>
              </w:rPr>
              <w:t xml:space="preserve">inistered when staff trained to </w:t>
            </w:r>
            <w:r w:rsidRPr="00C31F51">
              <w:rPr>
                <w:rFonts w:ascii="Arial" w:eastAsia="MS Mincho" w:hAnsi="Arial" w:cs="Arial"/>
                <w:sz w:val="20"/>
                <w:szCs w:val="20"/>
                <w:highlight w:val="yellow"/>
                <w:lang w:val="en-GB" w:bidi="ar-SA"/>
              </w:rPr>
              <w:t xml:space="preserve">evaluate and manage anaphylactic </w:t>
            </w:r>
            <w:bookmarkEnd w:id="0"/>
            <w:r w:rsidRPr="00C31F51">
              <w:rPr>
                <w:rFonts w:ascii="Arial" w:eastAsia="MS Mincho" w:hAnsi="Arial" w:cs="Arial"/>
                <w:sz w:val="20"/>
                <w:szCs w:val="20"/>
                <w:highlight w:val="yellow"/>
                <w:u w:val="single"/>
                <w:lang w:val="en-GB" w:bidi="ar-SA"/>
              </w:rPr>
              <w:t>reactions is immediately available, in an environment where full resuscitation facilities can be</w:t>
            </w:r>
            <w:r w:rsidR="00524EC4">
              <w:rPr>
                <w:rFonts w:ascii="Arial" w:eastAsia="MS Mincho" w:hAnsi="Arial" w:cs="Arial"/>
                <w:sz w:val="20"/>
                <w:szCs w:val="20"/>
                <w:highlight w:val="yellow"/>
                <w:u w:val="single"/>
                <w:lang w:val="en-GB" w:bidi="ar-SA"/>
              </w:rPr>
              <w:t xml:space="preserve"> </w:t>
            </w:r>
            <w:r w:rsidRPr="00C31F51">
              <w:rPr>
                <w:rFonts w:ascii="Arial" w:eastAsia="MS Mincho" w:hAnsi="Arial" w:cs="Arial"/>
                <w:sz w:val="20"/>
                <w:szCs w:val="20"/>
                <w:highlight w:val="yellow"/>
                <w:u w:val="single"/>
                <w:lang w:val="en-GB" w:bidi="ar-SA"/>
              </w:rPr>
              <w:t xml:space="preserve">assured. The patient should be observed for adverse effects for </w:t>
            </w:r>
            <w:r w:rsidR="00524EC4">
              <w:rPr>
                <w:rFonts w:ascii="Arial" w:eastAsia="MS Mincho" w:hAnsi="Arial" w:cs="Arial"/>
                <w:sz w:val="20"/>
                <w:szCs w:val="20"/>
                <w:highlight w:val="yellow"/>
                <w:u w:val="single"/>
                <w:lang w:val="en-GB" w:bidi="ar-SA"/>
              </w:rPr>
              <w:t xml:space="preserve">at least 30 minutes following </w:t>
            </w:r>
            <w:r w:rsidRPr="00C31F51">
              <w:rPr>
                <w:rFonts w:ascii="Arial" w:eastAsia="MS Mincho" w:hAnsi="Arial" w:cs="Arial"/>
                <w:sz w:val="20"/>
                <w:szCs w:val="20"/>
                <w:highlight w:val="yellow"/>
                <w:u w:val="single"/>
                <w:lang w:val="en-GB" w:bidi="ar-SA"/>
              </w:rPr>
              <w:t>each </w:t>
            </w:r>
            <w:proofErr w:type="spellStart"/>
            <w:r w:rsidRPr="00C31F51">
              <w:rPr>
                <w:rFonts w:ascii="Arial" w:eastAsia="MS Mincho" w:hAnsi="Arial" w:cs="Arial"/>
                <w:sz w:val="20"/>
                <w:szCs w:val="20"/>
                <w:highlight w:val="yellow"/>
                <w:u w:val="single"/>
                <w:lang w:val="en-GB" w:bidi="ar-SA"/>
              </w:rPr>
              <w:t>Ferrlecit</w:t>
            </w:r>
            <w:proofErr w:type="spellEnd"/>
            <w:r w:rsidRPr="00C31F51">
              <w:rPr>
                <w:rFonts w:ascii="Arial" w:eastAsia="MS Mincho" w:hAnsi="Arial" w:cs="Arial"/>
                <w:sz w:val="20"/>
                <w:szCs w:val="20"/>
                <w:highlight w:val="yellow"/>
                <w:u w:val="single"/>
                <w:lang w:val="en-GB" w:bidi="ar-SA"/>
              </w:rPr>
              <w:t xml:space="preserve"> injection (see section 4.4).</w:t>
            </w:r>
          </w:p>
          <w:p w:rsidR="00C31F51" w:rsidRPr="00C31F51" w:rsidRDefault="00C31F51" w:rsidP="00C31F51">
            <w:pPr>
              <w:bidi w:val="0"/>
              <w:ind w:right="73"/>
              <w:rPr>
                <w:rFonts w:eastAsia="SimSun"/>
                <w:color w:val="FF0000"/>
                <w:sz w:val="22"/>
                <w:szCs w:val="22"/>
                <w:lang w:eastAsia="zh-CN" w:bidi="ar-SA"/>
              </w:rPr>
            </w:pPr>
          </w:p>
          <w:p w:rsidR="00C31F51" w:rsidRPr="00C31F51" w:rsidRDefault="00C31F51" w:rsidP="00C31F51">
            <w:pPr>
              <w:bidi w:val="0"/>
              <w:ind w:right="73"/>
              <w:rPr>
                <w:rFonts w:ascii="Arial" w:eastAsia="MS Mincho" w:hAnsi="Arial" w:cs="Arial"/>
                <w:i/>
                <w:iCs/>
                <w:sz w:val="20"/>
                <w:szCs w:val="20"/>
                <w:highlight w:val="yellow"/>
                <w:u w:val="single"/>
                <w:lang w:val="en-GB" w:bidi="ar-SA"/>
              </w:rPr>
            </w:pPr>
            <w:proofErr w:type="spellStart"/>
            <w:r w:rsidRPr="00C31F51">
              <w:rPr>
                <w:rFonts w:ascii="Arial" w:eastAsia="MS Mincho" w:hAnsi="Arial" w:cs="Arial"/>
                <w:i/>
                <w:iCs/>
                <w:sz w:val="20"/>
                <w:szCs w:val="20"/>
                <w:highlight w:val="yellow"/>
                <w:u w:val="single"/>
                <w:lang w:val="en-GB" w:bidi="ar-SA"/>
              </w:rPr>
              <w:t>Pediatric</w:t>
            </w:r>
            <w:proofErr w:type="spellEnd"/>
            <w:r w:rsidRPr="00C31F51">
              <w:rPr>
                <w:rFonts w:ascii="Arial" w:eastAsia="MS Mincho" w:hAnsi="Arial" w:cs="Arial"/>
                <w:i/>
                <w:iCs/>
                <w:sz w:val="20"/>
                <w:szCs w:val="20"/>
                <w:highlight w:val="yellow"/>
                <w:u w:val="single"/>
                <w:lang w:val="en-GB" w:bidi="ar-SA"/>
              </w:rPr>
              <w:t xml:space="preserve"> population</w:t>
            </w:r>
          </w:p>
          <w:p w:rsidR="00C31F51" w:rsidRPr="00C31F51" w:rsidRDefault="00C31F51" w:rsidP="00C31F51">
            <w:pPr>
              <w:bidi w:val="0"/>
              <w:ind w:right="73"/>
              <w:rPr>
                <w:rFonts w:ascii="Arial" w:eastAsia="MS Mincho" w:hAnsi="Arial" w:cs="Arial"/>
                <w:i/>
                <w:iCs/>
                <w:sz w:val="20"/>
                <w:szCs w:val="20"/>
                <w:highlight w:val="yellow"/>
                <w:u w:val="single"/>
                <w:lang w:val="en-GB" w:bidi="ar-SA"/>
              </w:rPr>
            </w:pPr>
          </w:p>
          <w:p w:rsidR="00C31F51" w:rsidRPr="00503F2B" w:rsidRDefault="00C31F51" w:rsidP="00503F2B">
            <w:pPr>
              <w:bidi w:val="0"/>
              <w:ind w:right="73"/>
              <w:rPr>
                <w:rFonts w:ascii="Arial" w:eastAsia="MS Mincho" w:hAnsi="Arial" w:cs="Arial"/>
                <w:sz w:val="20"/>
                <w:szCs w:val="20"/>
                <w:highlight w:val="yellow"/>
                <w:u w:val="single"/>
                <w:lang w:val="en-GB" w:bidi="ar-SA"/>
              </w:rPr>
            </w:pPr>
            <w:r w:rsidRPr="00503F2B">
              <w:rPr>
                <w:rFonts w:ascii="Arial" w:eastAsia="MS Mincho" w:hAnsi="Arial" w:cs="Arial"/>
                <w:sz w:val="20"/>
                <w:szCs w:val="20"/>
                <w:highlight w:val="yellow"/>
                <w:u w:val="single"/>
                <w:lang w:val="en-GB" w:bidi="ar-SA"/>
              </w:rPr>
              <w:t>Due to lack of clini</w:t>
            </w:r>
            <w:r w:rsidR="00503F2B">
              <w:rPr>
                <w:rFonts w:ascii="Arial" w:eastAsia="MS Mincho" w:hAnsi="Arial" w:cs="Arial"/>
                <w:sz w:val="20"/>
                <w:szCs w:val="20"/>
                <w:highlight w:val="yellow"/>
                <w:u w:val="single"/>
                <w:lang w:val="en-GB" w:bidi="ar-SA"/>
              </w:rPr>
              <w:t>cal data on safety and efficacy,</w:t>
            </w:r>
            <w:r w:rsidRPr="00503F2B">
              <w:rPr>
                <w:rFonts w:ascii="Arial" w:eastAsia="MS Mincho" w:hAnsi="Arial" w:cs="Arial"/>
                <w:sz w:val="20"/>
                <w:szCs w:val="20"/>
                <w:highlight w:val="yellow"/>
                <w:u w:val="single"/>
                <w:lang w:val="en-GB" w:bidi="ar-SA"/>
              </w:rPr>
              <w:t xml:space="preserve"> </w:t>
            </w:r>
            <w:proofErr w:type="spellStart"/>
            <w:r w:rsidRPr="00503F2B">
              <w:rPr>
                <w:rFonts w:ascii="Arial" w:eastAsia="MS Mincho" w:hAnsi="Arial" w:cs="Arial"/>
                <w:sz w:val="20"/>
                <w:szCs w:val="20"/>
                <w:highlight w:val="yellow"/>
                <w:u w:val="single"/>
                <w:lang w:val="en-GB" w:bidi="ar-SA"/>
              </w:rPr>
              <w:t>Ferrlecit</w:t>
            </w:r>
            <w:proofErr w:type="spellEnd"/>
            <w:r w:rsidRPr="00503F2B">
              <w:rPr>
                <w:rFonts w:ascii="Arial" w:eastAsia="MS Mincho" w:hAnsi="Arial" w:cs="Arial"/>
                <w:sz w:val="20"/>
                <w:szCs w:val="20"/>
                <w:highlight w:val="yellow"/>
                <w:u w:val="single"/>
                <w:lang w:val="en-GB" w:bidi="ar-SA"/>
              </w:rPr>
              <w:t xml:space="preserve"> solution for injection is not recommended in children </w:t>
            </w:r>
            <w:r w:rsidR="00503F2B" w:rsidRPr="00503F2B">
              <w:rPr>
                <w:rFonts w:ascii="Arial" w:eastAsia="MS Mincho" w:hAnsi="Arial" w:cs="Arial"/>
                <w:sz w:val="20"/>
                <w:szCs w:val="20"/>
                <w:highlight w:val="yellow"/>
                <w:u w:val="single"/>
                <w:lang w:bidi="ar-SA"/>
              </w:rPr>
              <w:t>younger than the age</w:t>
            </w:r>
            <w:r w:rsidR="00503F2B" w:rsidRPr="00503F2B">
              <w:rPr>
                <w:rFonts w:ascii="Arial" w:eastAsia="MS Mincho" w:hAnsi="Arial" w:cs="Arial"/>
                <w:sz w:val="20"/>
                <w:szCs w:val="20"/>
                <w:highlight w:val="yellow"/>
                <w:u w:val="single"/>
                <w:lang w:val="en-GB" w:bidi="ar-SA"/>
              </w:rPr>
              <w:t xml:space="preserve"> 6 years.</w:t>
            </w:r>
          </w:p>
          <w:p w:rsidR="00A17960" w:rsidRDefault="00A17960" w:rsidP="00A17960">
            <w:pPr>
              <w:bidi w:val="0"/>
              <w:ind w:right="73"/>
              <w:rPr>
                <w:rFonts w:ascii="Tahoma" w:hAnsi="Tahoma" w:cs="Tahoma"/>
                <w:sz w:val="18"/>
                <w:szCs w:val="18"/>
              </w:rPr>
            </w:pPr>
          </w:p>
          <w:p w:rsidR="00A17960" w:rsidRDefault="00A17960" w:rsidP="00A17960">
            <w:pPr>
              <w:bidi w:val="0"/>
              <w:ind w:right="73"/>
              <w:rPr>
                <w:rFonts w:ascii="Arial" w:eastAsia="MS Mincho" w:hAnsi="Arial" w:cs="Arial"/>
                <w:sz w:val="20"/>
                <w:szCs w:val="20"/>
                <w:highlight w:val="green"/>
                <w:u w:val="single"/>
                <w:lang w:val="en-GB" w:bidi="ar-SA"/>
              </w:rPr>
            </w:pPr>
            <w:r w:rsidRPr="00C103BB">
              <w:rPr>
                <w:rFonts w:ascii="Tahoma" w:hAnsi="Tahoma" w:cs="Tahoma"/>
                <w:sz w:val="18"/>
                <w:szCs w:val="18"/>
              </w:rPr>
              <w:t>///////////</w:t>
            </w:r>
            <w:r w:rsidR="00201420">
              <w:rPr>
                <w:rFonts w:ascii="Tahoma" w:hAnsi="Tahoma" w:cs="Tahoma"/>
                <w:sz w:val="18"/>
                <w:szCs w:val="18"/>
              </w:rPr>
              <w:t>///////////</w:t>
            </w:r>
          </w:p>
          <w:p w:rsidR="00013278" w:rsidRPr="00C31F51" w:rsidRDefault="00013278" w:rsidP="00013278">
            <w:pPr>
              <w:tabs>
                <w:tab w:val="left" w:pos="1260"/>
                <w:tab w:val="left" w:pos="2892"/>
                <w:tab w:val="left" w:pos="3612"/>
                <w:tab w:val="left" w:pos="4332"/>
                <w:tab w:val="left" w:pos="5052"/>
                <w:tab w:val="left" w:pos="5772"/>
                <w:tab w:val="left" w:pos="6492"/>
                <w:tab w:val="left" w:pos="7212"/>
                <w:tab w:val="left" w:pos="7932"/>
                <w:tab w:val="left" w:pos="8652"/>
              </w:tabs>
              <w:overflowPunct w:val="0"/>
              <w:autoSpaceDE w:val="0"/>
              <w:autoSpaceDN w:val="0"/>
              <w:bidi w:val="0"/>
              <w:adjustRightInd w:val="0"/>
              <w:textAlignment w:val="baseline"/>
              <w:rPr>
                <w:rFonts w:ascii="Tahoma" w:hAnsi="Tahoma" w:cs="Tahoma"/>
                <w:b/>
                <w:bCs/>
                <w:sz w:val="18"/>
                <w:szCs w:val="18"/>
                <w:lang w:val="en-GB"/>
              </w:rPr>
            </w:pPr>
          </w:p>
        </w:tc>
      </w:tr>
      <w:tr w:rsidR="00013278" w:rsidRPr="00013278" w:rsidTr="00005C07">
        <w:trPr>
          <w:trHeight w:val="340"/>
        </w:trPr>
        <w:tc>
          <w:tcPr>
            <w:tcW w:w="2016" w:type="dxa"/>
            <w:vAlign w:val="center"/>
          </w:tcPr>
          <w:p w:rsidR="00236793" w:rsidRPr="00236793" w:rsidRDefault="00236793" w:rsidP="00236793">
            <w:pPr>
              <w:pStyle w:val="berschrift"/>
              <w:rPr>
                <w:rFonts w:ascii="Tahoma" w:eastAsia="Times New Roman" w:hAnsi="Tahoma" w:cs="Tahoma"/>
                <w:u w:val="single"/>
                <w:lang w:val="en-US" w:eastAsia="he-IL" w:bidi="he-IL"/>
              </w:rPr>
            </w:pPr>
            <w:r w:rsidRPr="00236793">
              <w:rPr>
                <w:rFonts w:ascii="Tahoma" w:eastAsia="Times New Roman" w:hAnsi="Tahoma" w:cs="Tahoma"/>
                <w:u w:val="single"/>
                <w:lang w:val="en-US" w:eastAsia="he-IL" w:bidi="he-IL"/>
              </w:rPr>
              <w:t>Contraindications</w:t>
            </w:r>
          </w:p>
          <w:p w:rsidR="00013278" w:rsidRPr="00013278" w:rsidRDefault="00013278" w:rsidP="00013278">
            <w:pPr>
              <w:bidi w:val="0"/>
              <w:spacing w:line="480" w:lineRule="auto"/>
              <w:rPr>
                <w:rFonts w:ascii="Arial Narrow" w:hAnsi="Arial Narrow" w:cs="David Transparent"/>
                <w:b/>
                <w:bCs/>
                <w:sz w:val="20"/>
                <w:szCs w:val="20"/>
                <w:lang w:eastAsia="he-IL"/>
              </w:rPr>
            </w:pPr>
          </w:p>
        </w:tc>
        <w:tc>
          <w:tcPr>
            <w:tcW w:w="1417" w:type="dxa"/>
            <w:vAlign w:val="center"/>
          </w:tcPr>
          <w:p w:rsidR="00013278" w:rsidRPr="00013278" w:rsidRDefault="00013278" w:rsidP="00013278">
            <w:pPr>
              <w:bidi w:val="0"/>
              <w:rPr>
                <w:rFonts w:cs="David"/>
                <w:lang w:eastAsia="he-IL"/>
              </w:rPr>
            </w:pPr>
          </w:p>
        </w:tc>
        <w:tc>
          <w:tcPr>
            <w:tcW w:w="5954" w:type="dxa"/>
            <w:vAlign w:val="center"/>
          </w:tcPr>
          <w:p w:rsidR="00E21730" w:rsidRDefault="00E21730" w:rsidP="00236793">
            <w:pPr>
              <w:bidi w:val="0"/>
              <w:spacing w:after="80"/>
              <w:rPr>
                <w:rFonts w:ascii="Arial" w:eastAsia="MS Mincho" w:hAnsi="Arial" w:cs="Arial"/>
                <w:sz w:val="20"/>
                <w:szCs w:val="20"/>
                <w:lang w:val="en-GB" w:bidi="ar-SA"/>
              </w:rPr>
            </w:pPr>
          </w:p>
          <w:p w:rsidR="00236793" w:rsidRPr="00236793" w:rsidRDefault="00236793" w:rsidP="00E21730">
            <w:pPr>
              <w:bidi w:val="0"/>
              <w:spacing w:after="80"/>
              <w:rPr>
                <w:rFonts w:ascii="Arial" w:eastAsia="MS Mincho" w:hAnsi="Arial" w:cs="Arial"/>
                <w:sz w:val="20"/>
                <w:szCs w:val="20"/>
                <w:lang w:val="en-GB" w:bidi="ar-SA"/>
              </w:rPr>
            </w:pPr>
            <w:proofErr w:type="spellStart"/>
            <w:r w:rsidRPr="00236793">
              <w:rPr>
                <w:rFonts w:ascii="Arial" w:eastAsia="MS Mincho" w:hAnsi="Arial" w:cs="Arial"/>
                <w:sz w:val="20"/>
                <w:szCs w:val="20"/>
                <w:lang w:val="en-GB" w:bidi="ar-SA"/>
              </w:rPr>
              <w:t>Ferrlecit</w:t>
            </w:r>
            <w:proofErr w:type="spellEnd"/>
            <w:r w:rsidRPr="00236793">
              <w:rPr>
                <w:rFonts w:ascii="Arial" w:eastAsia="MS Mincho" w:hAnsi="Arial" w:cs="Arial"/>
                <w:sz w:val="20"/>
                <w:szCs w:val="20"/>
                <w:lang w:val="en-GB" w:bidi="ar-SA"/>
              </w:rPr>
              <w:t xml:space="preserve"> should not be used in</w:t>
            </w:r>
          </w:p>
          <w:p w:rsidR="00236793" w:rsidRPr="00236793" w:rsidRDefault="00236793" w:rsidP="00236793">
            <w:pPr>
              <w:bidi w:val="0"/>
              <w:spacing w:after="80"/>
              <w:ind w:left="567"/>
              <w:rPr>
                <w:rFonts w:ascii="Arial" w:eastAsia="MS Mincho" w:hAnsi="Arial" w:cs="Arial"/>
                <w:sz w:val="20"/>
                <w:szCs w:val="20"/>
                <w:lang w:val="en-GB" w:bidi="ar-SA"/>
              </w:rPr>
            </w:pPr>
          </w:p>
          <w:p w:rsidR="00236793" w:rsidRPr="00236793" w:rsidRDefault="00236793" w:rsidP="00236793">
            <w:pPr>
              <w:pStyle w:val="ac"/>
              <w:numPr>
                <w:ilvl w:val="0"/>
                <w:numId w:val="2"/>
              </w:numPr>
              <w:bidi w:val="0"/>
              <w:spacing w:after="200" w:line="276" w:lineRule="auto"/>
              <w:ind w:right="73"/>
              <w:rPr>
                <w:rFonts w:ascii="Arial" w:eastAsia="MS Mincho" w:hAnsi="Arial" w:cs="Arial"/>
                <w:sz w:val="20"/>
                <w:szCs w:val="20"/>
                <w:highlight w:val="yellow"/>
                <w:u w:val="single"/>
                <w:lang w:val="en-GB" w:bidi="ar-SA"/>
              </w:rPr>
            </w:pPr>
            <w:r w:rsidRPr="00236793">
              <w:rPr>
                <w:rFonts w:ascii="Arial" w:eastAsia="MS Mincho" w:hAnsi="Arial" w:cs="Arial"/>
                <w:sz w:val="20"/>
                <w:szCs w:val="20"/>
                <w:lang w:val="en-GB" w:bidi="ar-SA"/>
              </w:rPr>
              <w:t xml:space="preserve">Hypersensitivity to the active substance, </w:t>
            </w:r>
            <w:r w:rsidRPr="00236793">
              <w:rPr>
                <w:rFonts w:ascii="Arial" w:eastAsia="MS Mincho" w:hAnsi="Arial" w:cs="Arial"/>
                <w:sz w:val="20"/>
                <w:szCs w:val="20"/>
                <w:highlight w:val="yellow"/>
                <w:u w:val="single"/>
                <w:lang w:val="en-GB" w:bidi="ar-SA"/>
              </w:rPr>
              <w:t xml:space="preserve">to </w:t>
            </w:r>
            <w:proofErr w:type="spellStart"/>
            <w:r w:rsidRPr="00236793">
              <w:rPr>
                <w:rFonts w:ascii="Arial" w:eastAsia="MS Mincho" w:hAnsi="Arial" w:cs="Arial"/>
                <w:sz w:val="20"/>
                <w:szCs w:val="20"/>
                <w:highlight w:val="yellow"/>
                <w:u w:val="single"/>
                <w:lang w:val="en-GB" w:bidi="ar-SA"/>
              </w:rPr>
              <w:t>Ferrlecit</w:t>
            </w:r>
            <w:proofErr w:type="spellEnd"/>
            <w:r w:rsidRPr="00236793">
              <w:rPr>
                <w:rFonts w:ascii="Arial" w:eastAsia="MS Mincho" w:hAnsi="Arial" w:cs="Arial"/>
                <w:sz w:val="20"/>
                <w:szCs w:val="20"/>
                <w:lang w:val="en-GB" w:bidi="ar-SA"/>
              </w:rPr>
              <w:t xml:space="preserve"> or </w:t>
            </w:r>
            <w:r w:rsidRPr="00236793">
              <w:rPr>
                <w:rFonts w:ascii="Arial" w:eastAsia="MS Mincho" w:hAnsi="Arial" w:cs="Arial"/>
                <w:sz w:val="20"/>
                <w:szCs w:val="20"/>
                <w:highlight w:val="yellow"/>
                <w:u w:val="single"/>
                <w:lang w:val="en-GB" w:bidi="ar-SA"/>
              </w:rPr>
              <w:t>any of its</w:t>
            </w:r>
            <w:r w:rsidRPr="00236793">
              <w:rPr>
                <w:rFonts w:eastAsia="SimSun"/>
                <w:color w:val="FF0000"/>
                <w:sz w:val="22"/>
                <w:szCs w:val="22"/>
                <w:highlight w:val="yellow"/>
                <w:lang w:bidi="ar-SA"/>
              </w:rPr>
              <w:t xml:space="preserve"> </w:t>
            </w:r>
            <w:r w:rsidRPr="00236793">
              <w:rPr>
                <w:rFonts w:ascii="Arial" w:eastAsia="MS Mincho" w:hAnsi="Arial" w:cs="Arial"/>
                <w:strike/>
                <w:color w:val="FF0000"/>
                <w:sz w:val="20"/>
                <w:szCs w:val="20"/>
                <w:lang w:val="en-GB" w:bidi="ar-SA"/>
              </w:rPr>
              <w:t>one of the</w:t>
            </w:r>
            <w:r w:rsidRPr="00236793">
              <w:rPr>
                <w:rFonts w:ascii="Arial" w:eastAsia="MS Mincho" w:hAnsi="Arial" w:cs="Arial"/>
                <w:sz w:val="20"/>
                <w:szCs w:val="20"/>
                <w:lang w:val="en-GB" w:bidi="ar-SA"/>
              </w:rPr>
              <w:t xml:space="preserve"> excipients</w:t>
            </w:r>
            <w:r w:rsidRPr="00236793">
              <w:rPr>
                <w:rFonts w:eastAsia="SimSun"/>
                <w:color w:val="FF0000"/>
                <w:sz w:val="22"/>
                <w:szCs w:val="22"/>
                <w:highlight w:val="yellow"/>
                <w:lang w:bidi="ar-SA"/>
              </w:rPr>
              <w:t xml:space="preserve"> </w:t>
            </w:r>
            <w:proofErr w:type="gramStart"/>
            <w:r w:rsidRPr="00236793">
              <w:rPr>
                <w:rFonts w:ascii="Arial" w:eastAsia="MS Mincho" w:hAnsi="Arial" w:cs="Arial"/>
                <w:sz w:val="20"/>
                <w:szCs w:val="20"/>
                <w:highlight w:val="yellow"/>
                <w:u w:val="single"/>
                <w:lang w:val="en-GB" w:bidi="ar-SA"/>
              </w:rPr>
              <w:t>listed  in</w:t>
            </w:r>
            <w:proofErr w:type="gramEnd"/>
            <w:r w:rsidRPr="00236793">
              <w:rPr>
                <w:rFonts w:ascii="Arial" w:eastAsia="MS Mincho" w:hAnsi="Arial" w:cs="Arial"/>
                <w:sz w:val="20"/>
                <w:szCs w:val="20"/>
                <w:highlight w:val="yellow"/>
                <w:u w:val="single"/>
                <w:lang w:val="en-GB" w:bidi="ar-SA"/>
              </w:rPr>
              <w:t xml:space="preserve"> section 6.1.</w:t>
            </w:r>
          </w:p>
          <w:p w:rsidR="00236793" w:rsidRPr="00236793" w:rsidRDefault="00236793" w:rsidP="00236793">
            <w:pPr>
              <w:numPr>
                <w:ilvl w:val="0"/>
                <w:numId w:val="2"/>
              </w:numPr>
              <w:bidi w:val="0"/>
              <w:spacing w:after="200" w:line="276" w:lineRule="auto"/>
              <w:ind w:right="73"/>
              <w:rPr>
                <w:rFonts w:ascii="Arial" w:eastAsia="MS Mincho" w:hAnsi="Arial" w:cs="Arial"/>
                <w:sz w:val="20"/>
                <w:szCs w:val="20"/>
                <w:highlight w:val="yellow"/>
                <w:u w:val="single"/>
                <w:lang w:val="en-GB" w:bidi="ar-SA"/>
              </w:rPr>
            </w:pPr>
            <w:r w:rsidRPr="00236793">
              <w:rPr>
                <w:rFonts w:ascii="Arial" w:eastAsia="MS Mincho" w:hAnsi="Arial" w:cs="Arial"/>
                <w:sz w:val="20"/>
                <w:szCs w:val="20"/>
                <w:highlight w:val="yellow"/>
                <w:u w:val="single"/>
                <w:lang w:val="en-GB" w:bidi="ar-SA"/>
              </w:rPr>
              <w:t>Known serious hypersensitivity to other parenteral iron products.</w:t>
            </w:r>
          </w:p>
          <w:p w:rsidR="00236793" w:rsidRPr="00236793" w:rsidRDefault="00236793" w:rsidP="00236793">
            <w:pPr>
              <w:pStyle w:val="ac"/>
              <w:numPr>
                <w:ilvl w:val="0"/>
                <w:numId w:val="2"/>
              </w:numPr>
              <w:tabs>
                <w:tab w:val="num" w:pos="851"/>
                <w:tab w:val="num" w:pos="900"/>
              </w:tabs>
              <w:bidi w:val="0"/>
              <w:spacing w:after="60" w:line="260" w:lineRule="atLeast"/>
              <w:jc w:val="both"/>
              <w:rPr>
                <w:rFonts w:ascii="Arial" w:eastAsia="MS Mincho" w:hAnsi="Arial" w:cs="Arial"/>
                <w:sz w:val="20"/>
                <w:szCs w:val="20"/>
                <w:lang w:val="en-GB" w:bidi="ar-SA"/>
              </w:rPr>
            </w:pPr>
            <w:r w:rsidRPr="00236793">
              <w:rPr>
                <w:rFonts w:ascii="Arial" w:eastAsia="MS Mincho" w:hAnsi="Arial" w:cs="Arial"/>
                <w:sz w:val="20"/>
                <w:szCs w:val="20"/>
                <w:lang w:val="en-GB" w:bidi="ar-SA"/>
              </w:rPr>
              <w:t>iron overload (</w:t>
            </w:r>
            <w:proofErr w:type="spellStart"/>
            <w:r w:rsidRPr="00236793">
              <w:rPr>
                <w:rFonts w:ascii="Arial" w:eastAsia="MS Mincho" w:hAnsi="Arial" w:cs="Arial"/>
                <w:sz w:val="20"/>
                <w:szCs w:val="20"/>
                <w:lang w:val="en-GB" w:bidi="ar-SA"/>
              </w:rPr>
              <w:t>haemochromatosis</w:t>
            </w:r>
            <w:proofErr w:type="spellEnd"/>
            <w:r w:rsidRPr="00236793">
              <w:rPr>
                <w:rFonts w:ascii="Arial" w:eastAsia="MS Mincho" w:hAnsi="Arial" w:cs="Arial"/>
                <w:sz w:val="20"/>
                <w:szCs w:val="20"/>
                <w:lang w:val="en-GB" w:bidi="ar-SA"/>
              </w:rPr>
              <w:t>, chronic haemolysis) or iron utilisation disorders (</w:t>
            </w:r>
            <w:proofErr w:type="spellStart"/>
            <w:r w:rsidRPr="00236793">
              <w:rPr>
                <w:rFonts w:ascii="Arial" w:eastAsia="MS Mincho" w:hAnsi="Arial" w:cs="Arial"/>
                <w:sz w:val="20"/>
                <w:szCs w:val="20"/>
                <w:lang w:val="en-GB" w:bidi="ar-SA"/>
              </w:rPr>
              <w:t>sideroblastic</w:t>
            </w:r>
            <w:proofErr w:type="spellEnd"/>
            <w:r w:rsidRPr="00236793">
              <w:rPr>
                <w:rFonts w:ascii="Arial" w:eastAsia="MS Mincho" w:hAnsi="Arial" w:cs="Arial"/>
                <w:sz w:val="20"/>
                <w:szCs w:val="20"/>
                <w:lang w:val="en-GB" w:bidi="ar-SA"/>
              </w:rPr>
              <w:t xml:space="preserve"> anaemia, lead anaemia, </w:t>
            </w:r>
            <w:proofErr w:type="spellStart"/>
            <w:r w:rsidRPr="00236793">
              <w:rPr>
                <w:rFonts w:ascii="Arial" w:eastAsia="MS Mincho" w:hAnsi="Arial" w:cs="Arial"/>
                <w:sz w:val="20"/>
                <w:szCs w:val="20"/>
                <w:lang w:val="en-GB" w:bidi="ar-SA"/>
              </w:rPr>
              <w:t>thalassaemia</w:t>
            </w:r>
            <w:proofErr w:type="spellEnd"/>
            <w:r w:rsidRPr="00236793">
              <w:rPr>
                <w:rFonts w:ascii="Arial" w:eastAsia="MS Mincho" w:hAnsi="Arial" w:cs="Arial"/>
                <w:sz w:val="20"/>
                <w:szCs w:val="20"/>
                <w:lang w:val="en-GB" w:bidi="ar-SA"/>
              </w:rPr>
              <w:t>),</w:t>
            </w:r>
          </w:p>
          <w:p w:rsidR="00236793" w:rsidRPr="00236793" w:rsidRDefault="00236793" w:rsidP="00236793">
            <w:pPr>
              <w:bidi w:val="0"/>
              <w:spacing w:after="60" w:line="260" w:lineRule="atLeast"/>
              <w:ind w:left="851"/>
              <w:jc w:val="both"/>
              <w:rPr>
                <w:rFonts w:ascii="Arial" w:eastAsia="MS Mincho" w:hAnsi="Arial" w:cs="Arial"/>
                <w:sz w:val="20"/>
                <w:szCs w:val="20"/>
                <w:lang w:val="en-GB" w:bidi="ar-SA"/>
              </w:rPr>
            </w:pPr>
          </w:p>
          <w:p w:rsidR="00236793" w:rsidRPr="00236793" w:rsidRDefault="00236793" w:rsidP="00236793">
            <w:pPr>
              <w:tabs>
                <w:tab w:val="left" w:pos="851"/>
                <w:tab w:val="num" w:pos="900"/>
              </w:tabs>
              <w:bidi w:val="0"/>
              <w:spacing w:after="60" w:line="260" w:lineRule="atLeast"/>
              <w:ind w:left="851" w:hanging="284"/>
              <w:jc w:val="both"/>
              <w:rPr>
                <w:rFonts w:ascii="Arial" w:eastAsia="MS Mincho" w:hAnsi="Arial" w:cs="Arial"/>
                <w:sz w:val="20"/>
                <w:szCs w:val="20"/>
                <w:lang w:val="en-GB" w:bidi="ar-SA"/>
              </w:rPr>
            </w:pPr>
            <w:r w:rsidRPr="00236793">
              <w:rPr>
                <w:rFonts w:ascii="Arial" w:eastAsia="MS Mincho" w:hAnsi="Arial" w:cs="Arial"/>
                <w:sz w:val="20"/>
                <w:szCs w:val="20"/>
                <w:lang w:val="en-GB" w:bidi="ar-SA"/>
              </w:rPr>
              <w:t>severe inflammatory diseases of the liver or kidneys,</w:t>
            </w:r>
          </w:p>
          <w:p w:rsidR="00236793" w:rsidRPr="00236793" w:rsidRDefault="00236793" w:rsidP="00236793">
            <w:pPr>
              <w:bidi w:val="0"/>
              <w:ind w:left="720"/>
              <w:rPr>
                <w:rFonts w:ascii="Arial" w:eastAsia="MS Mincho" w:hAnsi="Arial" w:cs="Arial"/>
                <w:sz w:val="20"/>
                <w:szCs w:val="20"/>
                <w:lang w:val="en-GB" w:bidi="ar-SA"/>
              </w:rPr>
            </w:pPr>
          </w:p>
          <w:p w:rsidR="00236793" w:rsidRPr="00201420" w:rsidRDefault="00236793" w:rsidP="00236793">
            <w:pPr>
              <w:pStyle w:val="ac"/>
              <w:numPr>
                <w:ilvl w:val="0"/>
                <w:numId w:val="2"/>
              </w:numPr>
              <w:tabs>
                <w:tab w:val="num" w:pos="851"/>
                <w:tab w:val="num" w:pos="900"/>
              </w:tabs>
              <w:bidi w:val="0"/>
              <w:spacing w:after="60" w:line="260" w:lineRule="atLeast"/>
              <w:jc w:val="both"/>
              <w:rPr>
                <w:rFonts w:eastAsia="MS Mincho"/>
                <w:strike/>
                <w:color w:val="FF0000"/>
                <w:sz w:val="20"/>
                <w:szCs w:val="20"/>
                <w:lang w:val="en-GB" w:bidi="ar-SA"/>
              </w:rPr>
            </w:pPr>
            <w:proofErr w:type="gramStart"/>
            <w:r w:rsidRPr="00201420">
              <w:rPr>
                <w:rFonts w:ascii="Arial" w:eastAsia="MS Mincho" w:hAnsi="Arial" w:cs="Arial"/>
                <w:strike/>
                <w:color w:val="FF0000"/>
                <w:sz w:val="20"/>
                <w:szCs w:val="20"/>
                <w:lang w:val="en-GB" w:bidi="ar-SA"/>
              </w:rPr>
              <w:t>infants</w:t>
            </w:r>
            <w:proofErr w:type="gramEnd"/>
            <w:r w:rsidRPr="00201420">
              <w:rPr>
                <w:rFonts w:ascii="Arial" w:eastAsia="MS Mincho" w:hAnsi="Arial" w:cs="Arial"/>
                <w:strike/>
                <w:color w:val="FF0000"/>
                <w:sz w:val="20"/>
                <w:szCs w:val="20"/>
                <w:lang w:val="en-GB" w:bidi="ar-SA"/>
              </w:rPr>
              <w:t xml:space="preserve"> and small children under 3 years of age.</w:t>
            </w:r>
          </w:p>
          <w:p w:rsidR="00236793" w:rsidRPr="00236793" w:rsidRDefault="00236793" w:rsidP="00236793">
            <w:pPr>
              <w:bidi w:val="0"/>
              <w:ind w:left="720"/>
              <w:rPr>
                <w:rFonts w:eastAsia="MS Mincho"/>
                <w:sz w:val="20"/>
                <w:szCs w:val="20"/>
                <w:lang w:val="en-GB" w:bidi="ar-SA"/>
              </w:rPr>
            </w:pPr>
          </w:p>
          <w:p w:rsidR="00236793" w:rsidRPr="00236793" w:rsidRDefault="00236793" w:rsidP="00236793">
            <w:pPr>
              <w:tabs>
                <w:tab w:val="left" w:pos="851"/>
              </w:tabs>
              <w:bidi w:val="0"/>
              <w:spacing w:after="60" w:line="260" w:lineRule="atLeast"/>
              <w:ind w:left="567"/>
              <w:jc w:val="both"/>
              <w:rPr>
                <w:rFonts w:ascii="Arial" w:eastAsia="MS Mincho" w:hAnsi="Arial" w:cs="Arial"/>
                <w:sz w:val="20"/>
                <w:szCs w:val="20"/>
                <w:lang w:val="en-GB" w:bidi="ar-SA"/>
              </w:rPr>
            </w:pPr>
            <w:r w:rsidRPr="00236793">
              <w:rPr>
                <w:rFonts w:ascii="Arial" w:eastAsia="MS Mincho" w:hAnsi="Arial" w:cs="Arial"/>
                <w:sz w:val="20"/>
                <w:szCs w:val="20"/>
                <w:lang w:val="en-GB" w:bidi="ar-SA"/>
              </w:rPr>
              <w:t xml:space="preserve">Due to the content of benzyl alcohol, </w:t>
            </w:r>
            <w:proofErr w:type="spellStart"/>
            <w:r w:rsidRPr="00236793">
              <w:rPr>
                <w:rFonts w:ascii="Arial" w:eastAsia="MS Mincho" w:hAnsi="Arial" w:cs="Arial"/>
                <w:sz w:val="20"/>
                <w:szCs w:val="20"/>
                <w:lang w:val="en-GB" w:bidi="ar-SA"/>
              </w:rPr>
              <w:t>Ferrlecit</w:t>
            </w:r>
            <w:proofErr w:type="spellEnd"/>
            <w:r w:rsidRPr="00236793">
              <w:rPr>
                <w:rFonts w:ascii="Arial" w:eastAsia="MS Mincho" w:hAnsi="Arial" w:cs="Arial"/>
                <w:sz w:val="20"/>
                <w:szCs w:val="20"/>
                <w:lang w:val="en-GB" w:bidi="ar-SA"/>
              </w:rPr>
              <w:t xml:space="preserve"> must not be </w:t>
            </w:r>
            <w:r w:rsidRPr="00236793">
              <w:rPr>
                <w:rFonts w:ascii="Arial" w:eastAsia="MS Mincho" w:hAnsi="Arial" w:cs="Arial"/>
                <w:color w:val="000000"/>
                <w:sz w:val="20"/>
                <w:szCs w:val="20"/>
                <w:lang w:val="en-GB" w:bidi="ar-SA"/>
              </w:rPr>
              <w:t xml:space="preserve">given to </w:t>
            </w:r>
            <w:r w:rsidRPr="00236793">
              <w:rPr>
                <w:rFonts w:ascii="Arial" w:eastAsia="MS Mincho" w:hAnsi="Arial" w:cs="Arial"/>
                <w:sz w:val="20"/>
                <w:szCs w:val="20"/>
                <w:highlight w:val="yellow"/>
                <w:u w:val="single"/>
                <w:lang w:val="en-GB" w:bidi="ar-SA"/>
              </w:rPr>
              <w:t>premature babies or</w:t>
            </w:r>
            <w:r w:rsidRPr="00236793">
              <w:rPr>
                <w:rFonts w:eastAsia="Calibri"/>
                <w:sz w:val="22"/>
                <w:szCs w:val="22"/>
                <w:lang w:val="en-GB" w:bidi="ar-SA"/>
              </w:rPr>
              <w:t xml:space="preserve"> </w:t>
            </w:r>
            <w:proofErr w:type="spellStart"/>
            <w:r w:rsidRPr="00236793">
              <w:rPr>
                <w:rFonts w:ascii="Arial" w:eastAsia="MS Mincho" w:hAnsi="Arial" w:cs="Arial"/>
                <w:strike/>
                <w:color w:val="FF0000"/>
                <w:sz w:val="20"/>
                <w:szCs w:val="20"/>
                <w:lang w:val="en-GB" w:bidi="ar-SA"/>
              </w:rPr>
              <w:t>newborns</w:t>
            </w:r>
            <w:proofErr w:type="spellEnd"/>
            <w:r w:rsidRPr="00236793">
              <w:rPr>
                <w:rFonts w:ascii="Arial" w:eastAsia="MS Mincho" w:hAnsi="Arial" w:cs="Arial"/>
                <w:strike/>
                <w:color w:val="FF0000"/>
                <w:sz w:val="20"/>
                <w:szCs w:val="20"/>
                <w:lang w:val="en-GB" w:bidi="ar-SA"/>
              </w:rPr>
              <w:t xml:space="preserve"> or premature</w:t>
            </w:r>
            <w:r w:rsidRPr="00236793">
              <w:rPr>
                <w:rFonts w:ascii="Arial" w:eastAsia="MS Mincho" w:hAnsi="Arial" w:cs="Arial"/>
                <w:color w:val="000000"/>
                <w:sz w:val="20"/>
                <w:szCs w:val="20"/>
                <w:lang w:val="en-GB" w:bidi="ar-SA"/>
              </w:rPr>
              <w:t xml:space="preserve"> neonates</w:t>
            </w:r>
            <w:r w:rsidRPr="00236793">
              <w:rPr>
                <w:rFonts w:ascii="Arial" w:eastAsia="MS Mincho" w:hAnsi="Arial" w:cs="Arial"/>
                <w:sz w:val="20"/>
                <w:szCs w:val="20"/>
                <w:lang w:val="en-GB" w:bidi="ar-SA"/>
              </w:rPr>
              <w:t>.</w:t>
            </w:r>
          </w:p>
          <w:p w:rsidR="00236793" w:rsidRPr="004E25BA" w:rsidRDefault="00236793" w:rsidP="00236793">
            <w:pPr>
              <w:tabs>
                <w:tab w:val="left" w:pos="708"/>
                <w:tab w:val="left" w:pos="851"/>
              </w:tabs>
              <w:bidi w:val="0"/>
              <w:spacing w:after="60" w:line="260" w:lineRule="atLeast"/>
              <w:ind w:left="567"/>
              <w:jc w:val="both"/>
              <w:rPr>
                <w:rFonts w:ascii="Arial" w:eastAsia="MS Mincho" w:hAnsi="Arial" w:cs="Arial"/>
                <w:strike/>
                <w:color w:val="FF0000"/>
                <w:sz w:val="20"/>
                <w:szCs w:val="20"/>
                <w:lang w:val="en-GB" w:bidi="ar-SA"/>
              </w:rPr>
            </w:pPr>
            <w:proofErr w:type="spellStart"/>
            <w:r w:rsidRPr="004E25BA">
              <w:rPr>
                <w:rFonts w:ascii="Arial" w:eastAsia="MS Mincho" w:hAnsi="Arial" w:cs="Arial"/>
                <w:strike/>
                <w:color w:val="FF0000"/>
                <w:sz w:val="20"/>
                <w:szCs w:val="20"/>
                <w:lang w:val="en-GB" w:bidi="ar-SA"/>
              </w:rPr>
              <w:t>Ferrlecit</w:t>
            </w:r>
            <w:proofErr w:type="spellEnd"/>
            <w:r w:rsidRPr="004E25BA">
              <w:rPr>
                <w:rFonts w:ascii="Arial" w:eastAsia="MS Mincho" w:hAnsi="Arial" w:cs="Arial"/>
                <w:strike/>
                <w:color w:val="FF0000"/>
                <w:sz w:val="20"/>
                <w:szCs w:val="20"/>
                <w:lang w:val="en-GB" w:bidi="ar-SA"/>
              </w:rPr>
              <w:t xml:space="preserve"> is not recommended for use in children between three and six years of age due to inadequate safety data.</w:t>
            </w:r>
          </w:p>
          <w:p w:rsidR="00236793" w:rsidRPr="00236793" w:rsidRDefault="00236793" w:rsidP="00236793">
            <w:pPr>
              <w:tabs>
                <w:tab w:val="left" w:pos="851"/>
              </w:tabs>
              <w:bidi w:val="0"/>
              <w:spacing w:after="60" w:line="260" w:lineRule="atLeast"/>
              <w:ind w:left="567"/>
              <w:jc w:val="both"/>
              <w:rPr>
                <w:rFonts w:ascii="Arial" w:eastAsia="MS Mincho" w:hAnsi="Arial" w:cs="Arial"/>
                <w:sz w:val="20"/>
                <w:szCs w:val="20"/>
                <w:lang w:val="en-GB" w:bidi="ar-SA"/>
              </w:rPr>
            </w:pPr>
            <w:r w:rsidRPr="00236793">
              <w:rPr>
                <w:rFonts w:ascii="Arial" w:eastAsia="MS Mincho" w:hAnsi="Arial" w:cs="Arial"/>
                <w:sz w:val="20"/>
                <w:szCs w:val="20"/>
                <w:lang w:val="en-GB" w:bidi="ar-SA"/>
              </w:rPr>
              <w:t>Because of its sucrose content, this medicinal product must not be used in patients suffering from hereditary fructose intolerance, glucose-</w:t>
            </w:r>
            <w:proofErr w:type="spellStart"/>
            <w:r w:rsidRPr="00236793">
              <w:rPr>
                <w:rFonts w:ascii="Arial" w:eastAsia="MS Mincho" w:hAnsi="Arial" w:cs="Arial"/>
                <w:sz w:val="20"/>
                <w:szCs w:val="20"/>
                <w:lang w:val="en-GB" w:bidi="ar-SA"/>
              </w:rPr>
              <w:t>galactose</w:t>
            </w:r>
            <w:proofErr w:type="spellEnd"/>
            <w:r w:rsidRPr="00236793">
              <w:rPr>
                <w:rFonts w:ascii="Arial" w:eastAsia="MS Mincho" w:hAnsi="Arial" w:cs="Arial"/>
                <w:sz w:val="20"/>
                <w:szCs w:val="20"/>
                <w:lang w:val="en-GB" w:bidi="ar-SA"/>
              </w:rPr>
              <w:t xml:space="preserve"> </w:t>
            </w:r>
            <w:proofErr w:type="spellStart"/>
            <w:r w:rsidRPr="00236793">
              <w:rPr>
                <w:rFonts w:ascii="Arial" w:eastAsia="MS Mincho" w:hAnsi="Arial" w:cs="Arial"/>
                <w:sz w:val="20"/>
                <w:szCs w:val="20"/>
                <w:lang w:val="en-GB" w:bidi="ar-SA"/>
              </w:rPr>
              <w:t>malabsorption</w:t>
            </w:r>
            <w:proofErr w:type="spellEnd"/>
            <w:r w:rsidRPr="00236793">
              <w:rPr>
                <w:rFonts w:ascii="Arial" w:eastAsia="MS Mincho" w:hAnsi="Arial" w:cs="Arial"/>
                <w:sz w:val="20"/>
                <w:szCs w:val="20"/>
                <w:lang w:val="en-GB" w:bidi="ar-SA"/>
              </w:rPr>
              <w:t xml:space="preserve"> or </w:t>
            </w:r>
            <w:proofErr w:type="spellStart"/>
            <w:r w:rsidRPr="00236793">
              <w:rPr>
                <w:rFonts w:ascii="Arial" w:eastAsia="MS Mincho" w:hAnsi="Arial" w:cs="Arial"/>
                <w:sz w:val="20"/>
                <w:szCs w:val="20"/>
                <w:lang w:val="en-GB" w:bidi="ar-SA"/>
              </w:rPr>
              <w:t>saccharase-isomaltase</w:t>
            </w:r>
            <w:proofErr w:type="spellEnd"/>
            <w:r w:rsidRPr="00236793">
              <w:rPr>
                <w:rFonts w:ascii="Arial" w:eastAsia="MS Mincho" w:hAnsi="Arial" w:cs="Arial"/>
                <w:sz w:val="20"/>
                <w:szCs w:val="20"/>
                <w:lang w:val="en-GB" w:bidi="ar-SA"/>
              </w:rPr>
              <w:t xml:space="preserve"> deficiency.</w:t>
            </w:r>
          </w:p>
          <w:p w:rsidR="00013278" w:rsidRPr="00236793" w:rsidRDefault="00013278" w:rsidP="00013278">
            <w:pPr>
              <w:bidi w:val="0"/>
              <w:rPr>
                <w:rFonts w:ascii="Tahoma" w:hAnsi="Tahoma" w:cs="Tahoma"/>
                <w:sz w:val="18"/>
                <w:szCs w:val="18"/>
                <w:rtl/>
                <w:lang w:val="en-GB"/>
              </w:rPr>
            </w:pPr>
          </w:p>
        </w:tc>
      </w:tr>
      <w:tr w:rsidR="00013278" w:rsidRPr="00013278" w:rsidTr="00005C07">
        <w:trPr>
          <w:trHeight w:val="340"/>
        </w:trPr>
        <w:tc>
          <w:tcPr>
            <w:tcW w:w="2016" w:type="dxa"/>
            <w:vAlign w:val="center"/>
          </w:tcPr>
          <w:p w:rsidR="00811EA7" w:rsidRPr="00811EA7" w:rsidRDefault="00811EA7" w:rsidP="00811EA7">
            <w:pPr>
              <w:pStyle w:val="berschrift"/>
              <w:ind w:left="570" w:firstLine="0"/>
              <w:rPr>
                <w:rFonts w:ascii="Tahoma" w:eastAsia="Times New Roman" w:hAnsi="Tahoma" w:cs="Tahoma"/>
                <w:u w:val="single"/>
                <w:lang w:val="en-US" w:eastAsia="he-IL" w:bidi="he-IL"/>
              </w:rPr>
            </w:pPr>
            <w:r w:rsidRPr="00811EA7">
              <w:rPr>
                <w:rFonts w:ascii="Tahoma" w:eastAsia="Times New Roman" w:hAnsi="Tahoma" w:cs="Tahoma"/>
                <w:u w:val="single"/>
                <w:lang w:val="en-US" w:eastAsia="he-IL" w:bidi="he-IL"/>
              </w:rPr>
              <w:lastRenderedPageBreak/>
              <w:t>Special warnings and precautions for use</w:t>
            </w:r>
          </w:p>
          <w:p w:rsidR="00013278" w:rsidRPr="00811EA7" w:rsidRDefault="00013278" w:rsidP="00013278">
            <w:pPr>
              <w:bidi w:val="0"/>
              <w:rPr>
                <w:rFonts w:ascii="Tahoma" w:hAnsi="Tahoma"/>
                <w:b/>
                <w:color w:val="000000"/>
                <w:sz w:val="20"/>
                <w:szCs w:val="20"/>
                <w:lang w:val="en-GB"/>
              </w:rPr>
            </w:pPr>
          </w:p>
        </w:tc>
        <w:tc>
          <w:tcPr>
            <w:tcW w:w="1417" w:type="dxa"/>
            <w:vAlign w:val="center"/>
          </w:tcPr>
          <w:p w:rsidR="00013278" w:rsidRPr="00013278" w:rsidRDefault="00013278" w:rsidP="00013278">
            <w:pPr>
              <w:bidi w:val="0"/>
              <w:rPr>
                <w:rFonts w:cs="David"/>
                <w:lang w:eastAsia="he-IL"/>
              </w:rPr>
            </w:pPr>
          </w:p>
        </w:tc>
        <w:tc>
          <w:tcPr>
            <w:tcW w:w="5954" w:type="dxa"/>
            <w:vAlign w:val="center"/>
          </w:tcPr>
          <w:p w:rsidR="00E21730" w:rsidRDefault="00E21730" w:rsidP="00FE4D96">
            <w:pPr>
              <w:bidi w:val="0"/>
              <w:ind w:left="570" w:right="73"/>
              <w:rPr>
                <w:rFonts w:ascii="Arial" w:eastAsia="MS Mincho" w:hAnsi="Arial" w:cs="Arial"/>
                <w:sz w:val="20"/>
                <w:szCs w:val="20"/>
                <w:highlight w:val="yellow"/>
                <w:u w:val="single"/>
                <w:lang w:val="en-GB" w:bidi="ar-SA"/>
              </w:rPr>
            </w:pPr>
          </w:p>
          <w:p w:rsidR="00FE4D96" w:rsidRPr="00FE4D96" w:rsidRDefault="00FE4D96" w:rsidP="00E21730">
            <w:pPr>
              <w:bidi w:val="0"/>
              <w:ind w:left="570" w:right="73"/>
              <w:rPr>
                <w:rFonts w:ascii="Arial" w:eastAsia="MS Mincho" w:hAnsi="Arial" w:cs="Arial"/>
                <w:sz w:val="20"/>
                <w:szCs w:val="20"/>
                <w:highlight w:val="yellow"/>
                <w:u w:val="single"/>
                <w:lang w:val="en-GB" w:bidi="ar-SA"/>
              </w:rPr>
            </w:pPr>
            <w:proofErr w:type="spellStart"/>
            <w:r w:rsidRPr="00FE4D96">
              <w:rPr>
                <w:rFonts w:ascii="Arial" w:eastAsia="MS Mincho" w:hAnsi="Arial" w:cs="Arial"/>
                <w:sz w:val="20"/>
                <w:szCs w:val="20"/>
                <w:highlight w:val="yellow"/>
                <w:u w:val="single"/>
                <w:lang w:val="en-GB" w:bidi="ar-SA"/>
              </w:rPr>
              <w:t>Parenterally</w:t>
            </w:r>
            <w:proofErr w:type="spellEnd"/>
            <w:r w:rsidRPr="00FE4D96">
              <w:rPr>
                <w:rFonts w:ascii="Arial" w:eastAsia="MS Mincho" w:hAnsi="Arial" w:cs="Arial"/>
                <w:sz w:val="20"/>
                <w:szCs w:val="20"/>
                <w:highlight w:val="yellow"/>
                <w:u w:val="single"/>
                <w:lang w:val="en-GB" w:bidi="ar-SA"/>
              </w:rPr>
              <w:t xml:space="preserve"> administered iron preparations can cause hypersensitivity reactions including serious and potentially fatal anaphylactic/</w:t>
            </w:r>
            <w:proofErr w:type="spellStart"/>
            <w:r w:rsidRPr="00FE4D96">
              <w:rPr>
                <w:rFonts w:ascii="Arial" w:eastAsia="MS Mincho" w:hAnsi="Arial" w:cs="Arial"/>
                <w:sz w:val="20"/>
                <w:szCs w:val="20"/>
                <w:highlight w:val="yellow"/>
                <w:u w:val="single"/>
                <w:lang w:val="en-GB" w:bidi="ar-SA"/>
              </w:rPr>
              <w:t>anaphylactoid</w:t>
            </w:r>
            <w:proofErr w:type="spellEnd"/>
            <w:r w:rsidRPr="00FE4D96">
              <w:rPr>
                <w:rFonts w:ascii="Arial" w:eastAsia="MS Mincho" w:hAnsi="Arial" w:cs="Arial"/>
                <w:sz w:val="20"/>
                <w:szCs w:val="20"/>
                <w:highlight w:val="yellow"/>
                <w:u w:val="single"/>
                <w:lang w:val="en-GB" w:bidi="ar-SA"/>
              </w:rPr>
              <w:t xml:space="preserve"> reactions. Hypersensitivity reactions have also been reported after previously uneventful doses of parenteral iron complexes.</w:t>
            </w:r>
          </w:p>
          <w:p w:rsidR="00FE4D96" w:rsidRPr="00FE4D96" w:rsidRDefault="00FE4D96" w:rsidP="00FE4D96">
            <w:pPr>
              <w:bidi w:val="0"/>
              <w:ind w:left="570" w:right="73"/>
              <w:rPr>
                <w:rFonts w:ascii="Arial" w:eastAsia="MS Mincho" w:hAnsi="Arial" w:cs="Arial"/>
                <w:sz w:val="20"/>
                <w:szCs w:val="20"/>
                <w:highlight w:val="yellow"/>
                <w:u w:val="single"/>
                <w:lang w:val="en-GB" w:bidi="ar-SA"/>
              </w:rPr>
            </w:pPr>
          </w:p>
          <w:p w:rsidR="00FE4D96" w:rsidRPr="00FE4D96" w:rsidRDefault="00FE4D96" w:rsidP="00FE4D96">
            <w:pPr>
              <w:bidi w:val="0"/>
              <w:ind w:left="570" w:right="73"/>
              <w:rPr>
                <w:rFonts w:ascii="Arial" w:eastAsia="MS Mincho" w:hAnsi="Arial" w:cs="Arial"/>
                <w:sz w:val="20"/>
                <w:szCs w:val="20"/>
                <w:highlight w:val="yellow"/>
                <w:u w:val="single"/>
                <w:lang w:val="en-GB" w:bidi="ar-SA"/>
              </w:rPr>
            </w:pPr>
            <w:r w:rsidRPr="00FE4D96">
              <w:rPr>
                <w:rFonts w:ascii="Arial" w:eastAsia="MS Mincho" w:hAnsi="Arial" w:cs="Arial"/>
                <w:sz w:val="20"/>
                <w:szCs w:val="20"/>
                <w:highlight w:val="yellow"/>
                <w:u w:val="single"/>
                <w:lang w:val="en-GB" w:bidi="ar-SA"/>
              </w:rPr>
              <w:t>The risk is enhanced for patients with known allergies including drug allergies, including patients with a history of severe asthma, eczema or other atopic allergy.</w:t>
            </w:r>
          </w:p>
          <w:p w:rsidR="00FE4D96" w:rsidRPr="00FE4D96" w:rsidRDefault="00FE4D96" w:rsidP="00FE4D96">
            <w:pPr>
              <w:bidi w:val="0"/>
              <w:ind w:left="570" w:right="73"/>
              <w:rPr>
                <w:rFonts w:ascii="Arial" w:eastAsia="MS Mincho" w:hAnsi="Arial" w:cs="Arial"/>
                <w:sz w:val="20"/>
                <w:szCs w:val="20"/>
                <w:highlight w:val="yellow"/>
                <w:u w:val="single"/>
                <w:lang w:val="en-GB" w:bidi="ar-SA"/>
              </w:rPr>
            </w:pPr>
            <w:r w:rsidRPr="00FE4D96">
              <w:rPr>
                <w:rFonts w:ascii="Arial" w:eastAsia="MS Mincho" w:hAnsi="Arial" w:cs="Arial"/>
                <w:sz w:val="20"/>
                <w:szCs w:val="20"/>
                <w:highlight w:val="yellow"/>
                <w:u w:val="single"/>
                <w:lang w:val="en-GB" w:bidi="ar-SA"/>
              </w:rPr>
              <w:t xml:space="preserve">There is also an increased risk of hypersensitivity reactions to parenteral iron complexes in patients with immune or inflammatory conditions (e.g. systemic lupus </w:t>
            </w:r>
            <w:proofErr w:type="spellStart"/>
            <w:r w:rsidRPr="00FE4D96">
              <w:rPr>
                <w:rFonts w:ascii="Arial" w:eastAsia="MS Mincho" w:hAnsi="Arial" w:cs="Arial"/>
                <w:sz w:val="20"/>
                <w:szCs w:val="20"/>
                <w:highlight w:val="yellow"/>
                <w:u w:val="single"/>
                <w:lang w:val="en-GB" w:bidi="ar-SA"/>
              </w:rPr>
              <w:t>erythematosus</w:t>
            </w:r>
            <w:proofErr w:type="spellEnd"/>
            <w:r w:rsidRPr="00FE4D96">
              <w:rPr>
                <w:rFonts w:ascii="Arial" w:eastAsia="MS Mincho" w:hAnsi="Arial" w:cs="Arial"/>
                <w:sz w:val="20"/>
                <w:szCs w:val="20"/>
                <w:highlight w:val="yellow"/>
                <w:u w:val="single"/>
                <w:lang w:val="en-GB" w:bidi="ar-SA"/>
              </w:rPr>
              <w:t xml:space="preserve">, rheumatoid arthritis, </w:t>
            </w:r>
            <w:proofErr w:type="spellStart"/>
            <w:r w:rsidRPr="00FE4D96">
              <w:rPr>
                <w:rFonts w:ascii="Arial" w:eastAsia="MS Mincho" w:hAnsi="Arial" w:cs="Arial"/>
                <w:sz w:val="20"/>
                <w:szCs w:val="20"/>
                <w:highlight w:val="yellow"/>
                <w:u w:val="single"/>
                <w:lang w:val="en-GB" w:bidi="ar-SA"/>
              </w:rPr>
              <w:t>Crohn’s</w:t>
            </w:r>
            <w:proofErr w:type="spellEnd"/>
            <w:r w:rsidRPr="00FE4D96">
              <w:rPr>
                <w:rFonts w:ascii="Arial" w:eastAsia="MS Mincho" w:hAnsi="Arial" w:cs="Arial"/>
                <w:sz w:val="20"/>
                <w:szCs w:val="20"/>
                <w:highlight w:val="yellow"/>
                <w:u w:val="single"/>
                <w:lang w:val="en-GB" w:bidi="ar-SA"/>
              </w:rPr>
              <w:t xml:space="preserve"> disease).</w:t>
            </w:r>
          </w:p>
          <w:p w:rsidR="00FE4D96" w:rsidRPr="00FE4D96" w:rsidRDefault="00FE4D96" w:rsidP="00FE4D96">
            <w:pPr>
              <w:bidi w:val="0"/>
              <w:ind w:left="570" w:right="73"/>
              <w:rPr>
                <w:rFonts w:eastAsia="SimSun" w:cs="Arial"/>
                <w:color w:val="FF0000"/>
                <w:sz w:val="20"/>
                <w:szCs w:val="20"/>
                <w:highlight w:val="yellow"/>
                <w:lang w:bidi="ar-SA"/>
              </w:rPr>
            </w:pPr>
          </w:p>
          <w:p w:rsidR="00FE4D96" w:rsidRPr="00FE4D96" w:rsidRDefault="00FE4D96" w:rsidP="00FE4D96">
            <w:pPr>
              <w:bidi w:val="0"/>
              <w:ind w:left="570" w:right="73"/>
              <w:rPr>
                <w:rFonts w:ascii="Arial" w:eastAsia="MS Mincho" w:hAnsi="Arial" w:cs="Arial"/>
                <w:sz w:val="20"/>
                <w:szCs w:val="20"/>
                <w:highlight w:val="yellow"/>
                <w:u w:val="single"/>
                <w:lang w:val="en-GB" w:bidi="ar-SA"/>
              </w:rPr>
            </w:pPr>
            <w:proofErr w:type="spellStart"/>
            <w:r w:rsidRPr="00FE4D96">
              <w:rPr>
                <w:rFonts w:ascii="Arial" w:eastAsia="MS Mincho" w:hAnsi="Arial" w:cs="Arial"/>
                <w:sz w:val="20"/>
                <w:szCs w:val="20"/>
                <w:highlight w:val="yellow"/>
                <w:u w:val="single"/>
                <w:lang w:val="en-GB" w:bidi="ar-SA"/>
              </w:rPr>
              <w:t>Ferrelcit</w:t>
            </w:r>
            <w:proofErr w:type="spellEnd"/>
            <w:r w:rsidRPr="00FE4D96">
              <w:rPr>
                <w:rFonts w:ascii="Arial" w:eastAsia="MS Mincho" w:hAnsi="Arial" w:cs="Arial"/>
                <w:sz w:val="20"/>
                <w:szCs w:val="20"/>
                <w:highlight w:val="yellow"/>
                <w:u w:val="single"/>
                <w:lang w:val="en-GB" w:bidi="ar-SA"/>
              </w:rPr>
              <w:t xml:space="preserve"> should only be administered when staff trained to evaluate and manage anaphylactic reactions is immediately available, in an environment where full resuscitation facilities can be assured. Each patient should be observed for adverse effects for at least 30 minutes following each </w:t>
            </w:r>
            <w:proofErr w:type="spellStart"/>
            <w:r w:rsidRPr="00FE4D96">
              <w:rPr>
                <w:rFonts w:ascii="Arial" w:eastAsia="MS Mincho" w:hAnsi="Arial" w:cs="Arial"/>
                <w:sz w:val="20"/>
                <w:szCs w:val="20"/>
                <w:highlight w:val="yellow"/>
                <w:u w:val="single"/>
                <w:lang w:val="en-GB" w:bidi="ar-SA"/>
              </w:rPr>
              <w:t>Ferrlecit</w:t>
            </w:r>
            <w:proofErr w:type="spellEnd"/>
            <w:r w:rsidRPr="00FE4D96">
              <w:rPr>
                <w:rFonts w:ascii="Arial" w:eastAsia="MS Mincho" w:hAnsi="Arial" w:cs="Arial"/>
                <w:sz w:val="20"/>
                <w:szCs w:val="20"/>
                <w:highlight w:val="yellow"/>
                <w:u w:val="single"/>
                <w:lang w:val="en-GB" w:bidi="ar-SA"/>
              </w:rPr>
              <w:t xml:space="preserve"> injection. If hypersensitivity reactions or signs of intolerance occur during administration, the treatment must be stopped immediately. Facilities for cardio respiratory resuscitation and equipment for handling acute anaphylactic/</w:t>
            </w:r>
            <w:proofErr w:type="spellStart"/>
            <w:r w:rsidRPr="00FE4D96">
              <w:rPr>
                <w:rFonts w:ascii="Arial" w:eastAsia="MS Mincho" w:hAnsi="Arial" w:cs="Arial"/>
                <w:sz w:val="20"/>
                <w:szCs w:val="20"/>
                <w:highlight w:val="yellow"/>
                <w:u w:val="single"/>
                <w:lang w:val="en-GB" w:bidi="ar-SA"/>
              </w:rPr>
              <w:t>anaphylactoid</w:t>
            </w:r>
            <w:proofErr w:type="spellEnd"/>
            <w:r w:rsidRPr="00FE4D96">
              <w:rPr>
                <w:rFonts w:ascii="Arial" w:eastAsia="MS Mincho" w:hAnsi="Arial" w:cs="Arial"/>
                <w:sz w:val="20"/>
                <w:szCs w:val="20"/>
                <w:highlight w:val="yellow"/>
                <w:u w:val="single"/>
                <w:lang w:val="en-GB" w:bidi="ar-SA"/>
              </w:rPr>
              <w:t xml:space="preserve"> reactions should be available, including an injectable 1:1000 adrenaline solution. Additional treatment with antihistamines and/or corticosteroids should be given as appropriate. </w:t>
            </w:r>
          </w:p>
          <w:p w:rsidR="00FE4D96" w:rsidRPr="00FE4D96" w:rsidRDefault="00FE4D96" w:rsidP="00FE4D96">
            <w:pPr>
              <w:bidi w:val="0"/>
              <w:ind w:left="570"/>
              <w:rPr>
                <w:rFonts w:eastAsia="MS Mincho" w:cs="Arial"/>
                <w:color w:val="FF0000"/>
                <w:sz w:val="20"/>
                <w:szCs w:val="20"/>
                <w:lang w:bidi="ar-SA"/>
              </w:rPr>
            </w:pPr>
          </w:p>
          <w:p w:rsidR="00FE4D96" w:rsidRPr="00FE4D96" w:rsidRDefault="00FE4D96" w:rsidP="00FE4D96">
            <w:pPr>
              <w:bidi w:val="0"/>
              <w:spacing w:after="80"/>
              <w:ind w:left="567"/>
              <w:rPr>
                <w:rFonts w:ascii="Arial" w:eastAsia="MS Mincho" w:hAnsi="Arial" w:cs="Arial"/>
                <w:strike/>
                <w:color w:val="FF0000"/>
                <w:sz w:val="20"/>
                <w:szCs w:val="20"/>
                <w:lang w:val="en-GB" w:bidi="ar-SA"/>
              </w:rPr>
            </w:pPr>
            <w:proofErr w:type="spellStart"/>
            <w:r w:rsidRPr="00FE4D96">
              <w:rPr>
                <w:rFonts w:ascii="Arial" w:eastAsia="MS Mincho" w:hAnsi="Arial" w:cs="Arial"/>
                <w:strike/>
                <w:color w:val="FF0000"/>
                <w:sz w:val="20"/>
                <w:szCs w:val="20"/>
                <w:lang w:val="en-GB" w:bidi="ar-SA"/>
              </w:rPr>
              <w:t>Ferrlecit</w:t>
            </w:r>
            <w:proofErr w:type="spellEnd"/>
            <w:r w:rsidRPr="00FE4D96">
              <w:rPr>
                <w:rFonts w:ascii="Arial" w:eastAsia="MS Mincho" w:hAnsi="Arial" w:cs="Arial"/>
                <w:strike/>
                <w:color w:val="FF0000"/>
                <w:sz w:val="20"/>
                <w:szCs w:val="20"/>
                <w:lang w:val="en-GB" w:bidi="ar-SA"/>
              </w:rPr>
              <w:t xml:space="preserve"> should only be used with special caution in:</w:t>
            </w:r>
          </w:p>
          <w:p w:rsidR="00FE4D96" w:rsidRPr="00FE4D96" w:rsidRDefault="00FE4D96" w:rsidP="00FE4D96">
            <w:pPr>
              <w:tabs>
                <w:tab w:val="num" w:pos="851"/>
                <w:tab w:val="num" w:pos="900"/>
              </w:tabs>
              <w:bidi w:val="0"/>
              <w:spacing w:after="60" w:line="260" w:lineRule="atLeast"/>
              <w:ind w:left="851" w:hanging="284"/>
              <w:jc w:val="both"/>
              <w:rPr>
                <w:rFonts w:ascii="Arial" w:eastAsia="MS Mincho" w:hAnsi="Arial" w:cs="Arial"/>
                <w:strike/>
                <w:color w:val="FF0000"/>
                <w:sz w:val="20"/>
                <w:szCs w:val="20"/>
                <w:lang w:val="en-GB" w:bidi="ar-SA"/>
              </w:rPr>
            </w:pPr>
            <w:r w:rsidRPr="00FE4D96">
              <w:rPr>
                <w:rFonts w:ascii="Arial" w:eastAsia="MS Mincho" w:hAnsi="Arial" w:cs="Arial"/>
                <w:strike/>
                <w:color w:val="FF0000"/>
                <w:sz w:val="20"/>
                <w:szCs w:val="20"/>
                <w:lang w:val="en-GB" w:bidi="ar-SA"/>
              </w:rPr>
              <w:t>patients with known allergic diathesis e.g. in asthmatics</w:t>
            </w:r>
          </w:p>
          <w:p w:rsidR="00FE4D96" w:rsidRDefault="00FE4D96" w:rsidP="00FE4D96">
            <w:pPr>
              <w:tabs>
                <w:tab w:val="num" w:pos="851"/>
                <w:tab w:val="num" w:pos="900"/>
              </w:tabs>
              <w:bidi w:val="0"/>
              <w:spacing w:after="60" w:line="260" w:lineRule="atLeast"/>
              <w:ind w:left="851" w:hanging="284"/>
              <w:jc w:val="both"/>
              <w:rPr>
                <w:rFonts w:ascii="Arial" w:eastAsia="MS Mincho" w:hAnsi="Arial" w:cs="Arial"/>
                <w:strike/>
                <w:color w:val="FF0000"/>
                <w:sz w:val="20"/>
                <w:szCs w:val="20"/>
                <w:lang w:val="en-GB" w:bidi="ar-SA"/>
              </w:rPr>
            </w:pPr>
            <w:r w:rsidRPr="00FE4D96">
              <w:rPr>
                <w:rFonts w:ascii="Arial" w:eastAsia="MS Mincho" w:hAnsi="Arial" w:cs="Arial"/>
                <w:strike/>
                <w:color w:val="FF0000"/>
                <w:sz w:val="20"/>
                <w:szCs w:val="20"/>
                <w:lang w:val="en-GB" w:bidi="ar-SA"/>
              </w:rPr>
              <w:t>chronic inflammatory diseases (</w:t>
            </w:r>
            <w:proofErr w:type="spellStart"/>
            <w:r w:rsidRPr="00FE4D96">
              <w:rPr>
                <w:rFonts w:ascii="Arial" w:eastAsia="MS Mincho" w:hAnsi="Arial" w:cs="Arial"/>
                <w:strike/>
                <w:color w:val="FF0000"/>
                <w:sz w:val="20"/>
                <w:szCs w:val="20"/>
                <w:lang w:val="en-GB" w:bidi="ar-SA"/>
              </w:rPr>
              <w:t>Crohn's</w:t>
            </w:r>
            <w:proofErr w:type="spellEnd"/>
            <w:r w:rsidRPr="00FE4D96">
              <w:rPr>
                <w:rFonts w:ascii="Arial" w:eastAsia="MS Mincho" w:hAnsi="Arial" w:cs="Arial"/>
                <w:strike/>
                <w:color w:val="FF0000"/>
                <w:sz w:val="20"/>
                <w:szCs w:val="20"/>
                <w:lang w:val="en-GB" w:bidi="ar-SA"/>
              </w:rPr>
              <w:t xml:space="preserve"> disease, progressive rheumatoid arthritis)</w:t>
            </w:r>
          </w:p>
          <w:p w:rsidR="00201420" w:rsidRPr="00201420" w:rsidRDefault="00201420" w:rsidP="00201420">
            <w:pPr>
              <w:bidi w:val="0"/>
              <w:spacing w:line="276" w:lineRule="auto"/>
              <w:rPr>
                <w:rFonts w:eastAsia="Calibri"/>
                <w:b/>
                <w:bCs/>
                <w:sz w:val="22"/>
                <w:szCs w:val="22"/>
                <w:lang w:val="en-GB" w:bidi="ar-SA"/>
              </w:rPr>
            </w:pPr>
            <w:r w:rsidRPr="00201420">
              <w:rPr>
                <w:rFonts w:eastAsia="Calibri"/>
                <w:b/>
                <w:bCs/>
                <w:sz w:val="22"/>
                <w:szCs w:val="22"/>
                <w:lang w:val="en-GB" w:bidi="ar-SA"/>
              </w:rPr>
              <w:t>/////////////////////////////</w:t>
            </w:r>
          </w:p>
          <w:p w:rsidR="00FE4D96" w:rsidRPr="00FE4D96" w:rsidRDefault="00FE4D96" w:rsidP="00FE4D96">
            <w:pPr>
              <w:bidi w:val="0"/>
              <w:ind w:left="570"/>
              <w:rPr>
                <w:rFonts w:ascii="Arial" w:eastAsia="MS Mincho" w:hAnsi="Arial" w:cs="Arial"/>
                <w:sz w:val="20"/>
                <w:szCs w:val="20"/>
                <w:highlight w:val="yellow"/>
                <w:u w:val="single"/>
                <w:lang w:val="en-GB" w:bidi="ar-SA"/>
              </w:rPr>
            </w:pPr>
            <w:proofErr w:type="spellStart"/>
            <w:r w:rsidRPr="00FE4D96">
              <w:rPr>
                <w:rFonts w:ascii="Arial" w:eastAsia="MS Mincho" w:hAnsi="Arial" w:cs="Arial"/>
                <w:sz w:val="20"/>
                <w:szCs w:val="20"/>
                <w:highlight w:val="yellow"/>
                <w:u w:val="single"/>
                <w:lang w:val="en-GB" w:bidi="ar-SA"/>
              </w:rPr>
              <w:t>Ferrlecit</w:t>
            </w:r>
            <w:proofErr w:type="spellEnd"/>
            <w:r w:rsidRPr="00FE4D96">
              <w:rPr>
                <w:rFonts w:ascii="Arial" w:eastAsia="MS Mincho" w:hAnsi="Arial" w:cs="Arial"/>
                <w:sz w:val="20"/>
                <w:szCs w:val="20"/>
                <w:highlight w:val="yellow"/>
                <w:u w:val="single"/>
                <w:lang w:val="en-GB" w:bidi="ar-SA"/>
              </w:rPr>
              <w:t xml:space="preserve"> should not be used in patients suffering from the rare hereditary fructose intolerance.</w:t>
            </w:r>
          </w:p>
          <w:p w:rsidR="00E21730" w:rsidRPr="00FE4D96" w:rsidRDefault="00E21730" w:rsidP="00E21730">
            <w:pPr>
              <w:tabs>
                <w:tab w:val="left" w:pos="732"/>
                <w:tab w:val="left" w:pos="1452"/>
                <w:tab w:val="left" w:pos="2172"/>
                <w:tab w:val="left" w:pos="2892"/>
                <w:tab w:val="left" w:pos="3612"/>
                <w:tab w:val="left" w:pos="4332"/>
                <w:tab w:val="left" w:pos="5052"/>
                <w:tab w:val="left" w:pos="5772"/>
                <w:tab w:val="left" w:pos="6492"/>
                <w:tab w:val="left" w:pos="7212"/>
                <w:tab w:val="left" w:pos="7932"/>
                <w:tab w:val="left" w:pos="8652"/>
              </w:tabs>
              <w:overflowPunct w:val="0"/>
              <w:autoSpaceDE w:val="0"/>
              <w:autoSpaceDN w:val="0"/>
              <w:bidi w:val="0"/>
              <w:adjustRightInd w:val="0"/>
              <w:textAlignment w:val="baseline"/>
              <w:rPr>
                <w:rFonts w:ascii="Tahoma" w:hAnsi="Tahoma" w:cs="Tahoma"/>
                <w:bCs/>
                <w:iCs/>
                <w:color w:val="00B050"/>
                <w:sz w:val="18"/>
                <w:szCs w:val="18"/>
                <w:lang w:val="en-GB"/>
              </w:rPr>
            </w:pPr>
          </w:p>
        </w:tc>
      </w:tr>
      <w:tr w:rsidR="00FE4D96" w:rsidRPr="00013278" w:rsidTr="00005C07">
        <w:trPr>
          <w:trHeight w:val="340"/>
        </w:trPr>
        <w:tc>
          <w:tcPr>
            <w:tcW w:w="2016" w:type="dxa"/>
            <w:vAlign w:val="center"/>
          </w:tcPr>
          <w:p w:rsidR="00FE4D96" w:rsidRPr="00811EA7" w:rsidRDefault="00FE4D96" w:rsidP="00811EA7">
            <w:pPr>
              <w:pStyle w:val="berschrift"/>
              <w:ind w:left="570" w:firstLine="0"/>
              <w:rPr>
                <w:rFonts w:ascii="Tahoma" w:eastAsia="Times New Roman" w:hAnsi="Tahoma" w:cs="Tahoma"/>
                <w:u w:val="single"/>
                <w:lang w:val="en-US" w:eastAsia="he-IL" w:bidi="he-IL"/>
              </w:rPr>
            </w:pPr>
            <w:r w:rsidRPr="00FE4D96">
              <w:rPr>
                <w:rFonts w:ascii="Tahoma" w:eastAsia="Times New Roman" w:hAnsi="Tahoma" w:cs="Tahoma"/>
                <w:u w:val="single"/>
                <w:lang w:val="en-US" w:eastAsia="he-IL" w:bidi="he-IL"/>
              </w:rPr>
              <w:t>Pregnancy and lactation</w:t>
            </w:r>
          </w:p>
        </w:tc>
        <w:tc>
          <w:tcPr>
            <w:tcW w:w="1417" w:type="dxa"/>
            <w:vAlign w:val="center"/>
          </w:tcPr>
          <w:p w:rsidR="00FE4D96" w:rsidRPr="00013278" w:rsidRDefault="00FE4D96" w:rsidP="00013278">
            <w:pPr>
              <w:bidi w:val="0"/>
              <w:rPr>
                <w:rFonts w:cs="David"/>
                <w:lang w:eastAsia="he-IL"/>
              </w:rPr>
            </w:pPr>
          </w:p>
        </w:tc>
        <w:tc>
          <w:tcPr>
            <w:tcW w:w="5954" w:type="dxa"/>
            <w:vAlign w:val="center"/>
          </w:tcPr>
          <w:p w:rsidR="00CC5C6D" w:rsidRPr="00201420" w:rsidRDefault="00B07CB4" w:rsidP="00CC5C6D">
            <w:pPr>
              <w:bidi w:val="0"/>
              <w:spacing w:line="276" w:lineRule="auto"/>
              <w:rPr>
                <w:rFonts w:eastAsia="Calibri"/>
                <w:b/>
                <w:bCs/>
                <w:sz w:val="22"/>
                <w:szCs w:val="22"/>
                <w:lang w:val="en-GB" w:bidi="ar-SA"/>
              </w:rPr>
            </w:pPr>
            <w:r w:rsidRPr="00201420">
              <w:rPr>
                <w:rFonts w:eastAsia="Calibri"/>
                <w:b/>
                <w:bCs/>
                <w:sz w:val="22"/>
                <w:szCs w:val="22"/>
                <w:lang w:val="en-GB" w:bidi="ar-SA"/>
              </w:rPr>
              <w:t>///////////</w:t>
            </w:r>
            <w:r w:rsidR="00201420">
              <w:rPr>
                <w:rFonts w:eastAsia="Calibri"/>
                <w:b/>
                <w:bCs/>
                <w:sz w:val="22"/>
                <w:szCs w:val="22"/>
                <w:lang w:val="en-GB" w:bidi="ar-SA"/>
              </w:rPr>
              <w:t>/////////////////</w:t>
            </w:r>
          </w:p>
          <w:p w:rsidR="00CC5C6D" w:rsidRPr="00CC5C6D" w:rsidRDefault="00CC5C6D" w:rsidP="00CC5C6D">
            <w:pPr>
              <w:bidi w:val="0"/>
              <w:spacing w:line="276" w:lineRule="auto"/>
              <w:rPr>
                <w:rFonts w:ascii="Arial" w:eastAsia="MS Mincho" w:hAnsi="Arial" w:cs="Arial"/>
                <w:sz w:val="20"/>
                <w:szCs w:val="20"/>
                <w:highlight w:val="yellow"/>
                <w:u w:val="single"/>
                <w:lang w:val="en-GB" w:bidi="ar-SA"/>
              </w:rPr>
            </w:pPr>
            <w:r w:rsidRPr="00CC5C6D">
              <w:rPr>
                <w:rFonts w:ascii="Arial" w:eastAsia="MS Mincho" w:hAnsi="Arial" w:cs="Arial"/>
                <w:sz w:val="20"/>
                <w:szCs w:val="20"/>
                <w:highlight w:val="yellow"/>
                <w:u w:val="single"/>
                <w:lang w:val="en-GB" w:bidi="ar-SA"/>
              </w:rPr>
              <w:t>Fertility</w:t>
            </w:r>
          </w:p>
          <w:p w:rsidR="00CC5C6D" w:rsidRPr="00CC5C6D" w:rsidRDefault="00CC5C6D" w:rsidP="00CC5C6D">
            <w:pPr>
              <w:bidi w:val="0"/>
              <w:spacing w:after="120"/>
              <w:jc w:val="both"/>
              <w:rPr>
                <w:rFonts w:ascii="Arial" w:eastAsia="MS Mincho" w:hAnsi="Arial" w:cs="Arial"/>
                <w:sz w:val="20"/>
                <w:szCs w:val="20"/>
                <w:highlight w:val="yellow"/>
                <w:u w:val="single"/>
                <w:lang w:val="en-GB" w:bidi="ar-SA"/>
              </w:rPr>
            </w:pPr>
            <w:r w:rsidRPr="00CC5C6D">
              <w:rPr>
                <w:rFonts w:ascii="Arial" w:eastAsia="MS Mincho" w:hAnsi="Arial" w:cs="Arial"/>
                <w:sz w:val="20"/>
                <w:szCs w:val="20"/>
                <w:highlight w:val="yellow"/>
                <w:u w:val="single"/>
                <w:lang w:val="en-GB" w:bidi="ar-SA"/>
              </w:rPr>
              <w:t xml:space="preserve">Studies to assess the effect of </w:t>
            </w:r>
            <w:proofErr w:type="spellStart"/>
            <w:r w:rsidRPr="00CC5C6D">
              <w:rPr>
                <w:rFonts w:ascii="Arial" w:eastAsia="MS Mincho" w:hAnsi="Arial" w:cs="Arial"/>
                <w:sz w:val="20"/>
                <w:szCs w:val="20"/>
                <w:highlight w:val="yellow"/>
                <w:u w:val="single"/>
                <w:lang w:val="en-GB" w:bidi="ar-SA"/>
              </w:rPr>
              <w:t>Ferrlecit</w:t>
            </w:r>
            <w:proofErr w:type="spellEnd"/>
            <w:r w:rsidRPr="00CC5C6D">
              <w:rPr>
                <w:rFonts w:ascii="Arial" w:eastAsia="MS Mincho" w:hAnsi="Arial" w:cs="Arial"/>
                <w:sz w:val="20"/>
                <w:szCs w:val="20"/>
                <w:highlight w:val="yellow"/>
                <w:u w:val="single"/>
                <w:lang w:val="en-GB" w:bidi="ar-SA"/>
              </w:rPr>
              <w:t xml:space="preserve"> on fertility were not conducted. </w:t>
            </w:r>
          </w:p>
          <w:p w:rsidR="00FE4D96" w:rsidRPr="00FE4D96" w:rsidRDefault="00FE4D96" w:rsidP="00FE4D96">
            <w:pPr>
              <w:bidi w:val="0"/>
              <w:ind w:left="570" w:right="73"/>
              <w:rPr>
                <w:rFonts w:ascii="Arial" w:eastAsia="MS Mincho" w:hAnsi="Arial" w:cs="Arial"/>
                <w:sz w:val="20"/>
                <w:szCs w:val="20"/>
                <w:highlight w:val="yellow"/>
                <w:u w:val="single"/>
                <w:lang w:val="en-GB" w:bidi="ar-SA"/>
              </w:rPr>
            </w:pPr>
          </w:p>
        </w:tc>
      </w:tr>
    </w:tbl>
    <w:p w:rsidR="001B6AAB" w:rsidRPr="00774D3C" w:rsidRDefault="001B6AAB" w:rsidP="00013278">
      <w:pPr>
        <w:ind w:left="-143" w:right="-142"/>
        <w:rPr>
          <w:rFonts w:cs="David Transparent"/>
          <w:szCs w:val="28"/>
          <w:rtl/>
          <w:lang w:eastAsia="he-IL"/>
        </w:rPr>
      </w:pPr>
      <w:bookmarkStart w:id="1" w:name="_GoBack"/>
      <w:bookmarkEnd w:id="1"/>
    </w:p>
    <w:p w:rsidR="001B6AAB" w:rsidRDefault="001B6AAB" w:rsidP="00013278">
      <w:pPr>
        <w:ind w:left="-143" w:right="-142"/>
        <w:rPr>
          <w:rFonts w:cs="David Transparent"/>
          <w:szCs w:val="28"/>
          <w:rtl/>
          <w:lang w:eastAsia="he-IL"/>
        </w:rPr>
      </w:pPr>
    </w:p>
    <w:p w:rsidR="001B6AAB" w:rsidRPr="00013278" w:rsidRDefault="001B6AAB" w:rsidP="00013278">
      <w:pPr>
        <w:ind w:left="-143" w:right="-142"/>
        <w:rPr>
          <w:rFonts w:cs="David Transparent"/>
          <w:szCs w:val="28"/>
          <w:rtl/>
          <w:lang w:eastAsia="he-IL"/>
        </w:rPr>
      </w:pPr>
    </w:p>
    <w:p w:rsidR="00013278" w:rsidRPr="00013278" w:rsidRDefault="00013278" w:rsidP="00013278">
      <w:pPr>
        <w:rPr>
          <w:rFonts w:ascii="Geneva" w:hAnsi="Geneva" w:cs="David"/>
          <w:vanish/>
          <w:lang w:eastAsia="he-IL"/>
        </w:rPr>
      </w:pPr>
    </w:p>
    <w:p w:rsidR="00013278" w:rsidRPr="00013278" w:rsidRDefault="00013278" w:rsidP="00013278">
      <w:pPr>
        <w:ind w:left="-143" w:right="-142"/>
        <w:rPr>
          <w:rFonts w:cs="David Transparent"/>
          <w:szCs w:val="28"/>
          <w:rtl/>
          <w:lang w:eastAsia="he-IL"/>
        </w:rPr>
      </w:pPr>
    </w:p>
    <w:p w:rsidR="00013278" w:rsidRPr="00013278" w:rsidRDefault="00013278" w:rsidP="00764C14">
      <w:pPr>
        <w:ind w:left="262" w:right="-142"/>
        <w:rPr>
          <w:rFonts w:cs="David"/>
          <w:lang w:eastAsia="he-IL"/>
        </w:rPr>
      </w:pPr>
      <w:r w:rsidRPr="00013278">
        <w:rPr>
          <w:rFonts w:cs="David"/>
          <w:rtl/>
          <w:lang w:eastAsia="he-IL"/>
        </w:rPr>
        <w:t xml:space="preserve"> </w:t>
      </w:r>
    </w:p>
    <w:p w:rsidR="00D95A3A" w:rsidRDefault="00D95A3A" w:rsidP="006F4B03"/>
    <w:p w:rsidR="00DA176D" w:rsidRPr="00013278" w:rsidRDefault="00DA176D" w:rsidP="00DA176D">
      <w:pPr>
        <w:ind w:left="-143" w:right="-142"/>
        <w:rPr>
          <w:rFonts w:cs="David Transparent"/>
          <w:szCs w:val="28"/>
          <w:rtl/>
          <w:lang w:eastAsia="he-IL"/>
        </w:rPr>
      </w:pPr>
    </w:p>
    <w:sectPr w:rsidR="00DA176D" w:rsidRPr="00013278" w:rsidSect="005E0C08">
      <w:headerReference w:type="default" r:id="rId8"/>
      <w:pgSz w:w="11906" w:h="16838"/>
      <w:pgMar w:top="1440" w:right="1800" w:bottom="27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629F" w:rsidRDefault="00F7629F">
      <w:r>
        <w:separator/>
      </w:r>
    </w:p>
  </w:endnote>
  <w:endnote w:type="continuationSeparator" w:id="0">
    <w:p w:rsidR="00F7629F" w:rsidRDefault="00F762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20002A87" w:usb1="00000000" w:usb2="00000000"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David Transparent">
    <w:panose1 w:val="020E0502060401010101"/>
    <w:charset w:val="B1"/>
    <w:family w:val="swiss"/>
    <w:pitch w:val="variable"/>
    <w:sig w:usb0="00000801" w:usb1="00000000" w:usb2="00000000" w:usb3="00000000" w:csb0="00000020" w:csb1="00000000"/>
  </w:font>
  <w:font w:name="David">
    <w:panose1 w:val="020E0502060401010101"/>
    <w:charset w:val="B1"/>
    <w:family w:val="swiss"/>
    <w:pitch w:val="variable"/>
    <w:sig w:usb0="00000801" w:usb1="00000000" w:usb2="00000000" w:usb3="00000000" w:csb0="00000020"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Geneva">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629F" w:rsidRDefault="00F7629F">
      <w:r>
        <w:separator/>
      </w:r>
    </w:p>
  </w:footnote>
  <w:footnote w:type="continuationSeparator" w:id="0">
    <w:p w:rsidR="00F7629F" w:rsidRDefault="00F762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629F" w:rsidRDefault="00F7629F">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BE1334"/>
    <w:multiLevelType w:val="hybridMultilevel"/>
    <w:tmpl w:val="5D5AAAA4"/>
    <w:lvl w:ilvl="0" w:tplc="55E0C626">
      <w:numFmt w:val="bullet"/>
      <w:lvlText w:val="-"/>
      <w:lvlJc w:val="left"/>
      <w:pPr>
        <w:ind w:left="927" w:hanging="360"/>
      </w:pPr>
      <w:rPr>
        <w:rFonts w:ascii="Arial" w:eastAsia="MS Mincho" w:hAnsi="Arial" w:cs="Arial" w:hint="default"/>
        <w:u w:val="none"/>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
    <w:nsid w:val="70540F4E"/>
    <w:multiLevelType w:val="hybridMultilevel"/>
    <w:tmpl w:val="DE56247C"/>
    <w:lvl w:ilvl="0" w:tplc="D7DA808C">
      <w:start w:val="2"/>
      <w:numFmt w:val="bullet"/>
      <w:lvlText w:val=""/>
      <w:lvlJc w:val="left"/>
      <w:pPr>
        <w:tabs>
          <w:tab w:val="num" w:pos="262"/>
        </w:tabs>
        <w:ind w:left="262" w:hanging="405"/>
      </w:pPr>
      <w:rPr>
        <w:rFonts w:ascii="Wingdings" w:eastAsia="Times New Roman" w:hAnsi="Wingdings" w:hint="default"/>
        <w:sz w:val="32"/>
      </w:rPr>
    </w:lvl>
    <w:lvl w:ilvl="1" w:tplc="040D0003" w:tentative="1">
      <w:start w:val="1"/>
      <w:numFmt w:val="bullet"/>
      <w:lvlText w:val="o"/>
      <w:lvlJc w:val="left"/>
      <w:pPr>
        <w:tabs>
          <w:tab w:val="num" w:pos="937"/>
        </w:tabs>
        <w:ind w:left="937" w:hanging="360"/>
      </w:pPr>
      <w:rPr>
        <w:rFonts w:ascii="Courier New" w:hAnsi="Courier New" w:hint="default"/>
      </w:rPr>
    </w:lvl>
    <w:lvl w:ilvl="2" w:tplc="040D0005" w:tentative="1">
      <w:start w:val="1"/>
      <w:numFmt w:val="bullet"/>
      <w:lvlText w:val=""/>
      <w:lvlJc w:val="left"/>
      <w:pPr>
        <w:tabs>
          <w:tab w:val="num" w:pos="1657"/>
        </w:tabs>
        <w:ind w:left="1657" w:hanging="360"/>
      </w:pPr>
      <w:rPr>
        <w:rFonts w:ascii="Wingdings" w:hAnsi="Wingdings" w:hint="default"/>
      </w:rPr>
    </w:lvl>
    <w:lvl w:ilvl="3" w:tplc="040D0001" w:tentative="1">
      <w:start w:val="1"/>
      <w:numFmt w:val="bullet"/>
      <w:lvlText w:val=""/>
      <w:lvlJc w:val="left"/>
      <w:pPr>
        <w:tabs>
          <w:tab w:val="num" w:pos="2377"/>
        </w:tabs>
        <w:ind w:left="2377" w:hanging="360"/>
      </w:pPr>
      <w:rPr>
        <w:rFonts w:ascii="Symbol" w:hAnsi="Symbol" w:hint="default"/>
      </w:rPr>
    </w:lvl>
    <w:lvl w:ilvl="4" w:tplc="040D0003" w:tentative="1">
      <w:start w:val="1"/>
      <w:numFmt w:val="bullet"/>
      <w:lvlText w:val="o"/>
      <w:lvlJc w:val="left"/>
      <w:pPr>
        <w:tabs>
          <w:tab w:val="num" w:pos="3097"/>
        </w:tabs>
        <w:ind w:left="3097" w:hanging="360"/>
      </w:pPr>
      <w:rPr>
        <w:rFonts w:ascii="Courier New" w:hAnsi="Courier New" w:hint="default"/>
      </w:rPr>
    </w:lvl>
    <w:lvl w:ilvl="5" w:tplc="040D0005" w:tentative="1">
      <w:start w:val="1"/>
      <w:numFmt w:val="bullet"/>
      <w:lvlText w:val=""/>
      <w:lvlJc w:val="left"/>
      <w:pPr>
        <w:tabs>
          <w:tab w:val="num" w:pos="3817"/>
        </w:tabs>
        <w:ind w:left="3817" w:hanging="360"/>
      </w:pPr>
      <w:rPr>
        <w:rFonts w:ascii="Wingdings" w:hAnsi="Wingdings" w:hint="default"/>
      </w:rPr>
    </w:lvl>
    <w:lvl w:ilvl="6" w:tplc="040D0001" w:tentative="1">
      <w:start w:val="1"/>
      <w:numFmt w:val="bullet"/>
      <w:lvlText w:val=""/>
      <w:lvlJc w:val="left"/>
      <w:pPr>
        <w:tabs>
          <w:tab w:val="num" w:pos="4537"/>
        </w:tabs>
        <w:ind w:left="4537" w:hanging="360"/>
      </w:pPr>
      <w:rPr>
        <w:rFonts w:ascii="Symbol" w:hAnsi="Symbol" w:hint="default"/>
      </w:rPr>
    </w:lvl>
    <w:lvl w:ilvl="7" w:tplc="040D0003" w:tentative="1">
      <w:start w:val="1"/>
      <w:numFmt w:val="bullet"/>
      <w:lvlText w:val="o"/>
      <w:lvlJc w:val="left"/>
      <w:pPr>
        <w:tabs>
          <w:tab w:val="num" w:pos="5257"/>
        </w:tabs>
        <w:ind w:left="5257" w:hanging="360"/>
      </w:pPr>
      <w:rPr>
        <w:rFonts w:ascii="Courier New" w:hAnsi="Courier New" w:hint="default"/>
      </w:rPr>
    </w:lvl>
    <w:lvl w:ilvl="8" w:tplc="040D0005" w:tentative="1">
      <w:start w:val="1"/>
      <w:numFmt w:val="bullet"/>
      <w:lvlText w:val=""/>
      <w:lvlJc w:val="left"/>
      <w:pPr>
        <w:tabs>
          <w:tab w:val="num" w:pos="5977"/>
        </w:tabs>
        <w:ind w:left="5977" w:hanging="360"/>
      </w:pPr>
      <w:rPr>
        <w:rFonts w:ascii="Wingdings" w:hAnsi="Wingdings" w:hint="default"/>
      </w:rPr>
    </w:lvl>
  </w:abstractNum>
  <w:abstractNum w:abstractNumId="2">
    <w:nsid w:val="720B515C"/>
    <w:multiLevelType w:val="multilevel"/>
    <w:tmpl w:val="0DA4D15A"/>
    <w:lvl w:ilvl="0">
      <w:start w:val="4"/>
      <w:numFmt w:val="decimal"/>
      <w:lvlText w:val="%1"/>
      <w:lvlJc w:val="left"/>
      <w:pPr>
        <w:tabs>
          <w:tab w:val="num" w:pos="570"/>
        </w:tabs>
        <w:ind w:left="570" w:hanging="570"/>
      </w:pPr>
      <w:rPr>
        <w:rFonts w:ascii="Times New Roman" w:hAnsi="Times New Roman" w:cs="Times New Roman" w:hint="default"/>
      </w:rPr>
    </w:lvl>
    <w:lvl w:ilvl="1">
      <w:start w:val="4"/>
      <w:numFmt w:val="decimal"/>
      <w:lvlText w:val="%1.%2"/>
      <w:lvlJc w:val="left"/>
      <w:pPr>
        <w:tabs>
          <w:tab w:val="num" w:pos="570"/>
        </w:tabs>
        <w:ind w:left="570" w:hanging="570"/>
      </w:pPr>
      <w:rPr>
        <w:rFonts w:ascii="Times New Roman" w:hAnsi="Times New Roman" w:cs="Times New Roman" w:hint="default"/>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440"/>
        </w:tabs>
        <w:ind w:left="1440" w:hanging="1440"/>
      </w:pPr>
      <w:rPr>
        <w:rFonts w:ascii="Times New Roman" w:hAnsi="Times New Roman" w:cs="Times New Roman"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9A7"/>
    <w:rsid w:val="00005C07"/>
    <w:rsid w:val="00011922"/>
    <w:rsid w:val="00013278"/>
    <w:rsid w:val="000309C2"/>
    <w:rsid w:val="000336FC"/>
    <w:rsid w:val="00036334"/>
    <w:rsid w:val="00084BB3"/>
    <w:rsid w:val="000A7F42"/>
    <w:rsid w:val="00135C84"/>
    <w:rsid w:val="00151D9C"/>
    <w:rsid w:val="00197834"/>
    <w:rsid w:val="001A5A82"/>
    <w:rsid w:val="001B6AAB"/>
    <w:rsid w:val="00201420"/>
    <w:rsid w:val="00204FDA"/>
    <w:rsid w:val="00205C30"/>
    <w:rsid w:val="0021476D"/>
    <w:rsid w:val="00216293"/>
    <w:rsid w:val="00236793"/>
    <w:rsid w:val="002404F8"/>
    <w:rsid w:val="00285CC2"/>
    <w:rsid w:val="002944F5"/>
    <w:rsid w:val="002953A3"/>
    <w:rsid w:val="00327B3C"/>
    <w:rsid w:val="003325FB"/>
    <w:rsid w:val="0036476B"/>
    <w:rsid w:val="00373122"/>
    <w:rsid w:val="00380FE8"/>
    <w:rsid w:val="003A4D04"/>
    <w:rsid w:val="003C4279"/>
    <w:rsid w:val="003E5516"/>
    <w:rsid w:val="00400100"/>
    <w:rsid w:val="0040452E"/>
    <w:rsid w:val="004459D8"/>
    <w:rsid w:val="004D60C8"/>
    <w:rsid w:val="004E25BA"/>
    <w:rsid w:val="00503581"/>
    <w:rsid w:val="00503F2B"/>
    <w:rsid w:val="00511F9A"/>
    <w:rsid w:val="00524EC4"/>
    <w:rsid w:val="005329FF"/>
    <w:rsid w:val="00552648"/>
    <w:rsid w:val="005603E0"/>
    <w:rsid w:val="00594EFD"/>
    <w:rsid w:val="005D4775"/>
    <w:rsid w:val="005E0C08"/>
    <w:rsid w:val="006220C6"/>
    <w:rsid w:val="00687EE0"/>
    <w:rsid w:val="00694C9A"/>
    <w:rsid w:val="00697DBE"/>
    <w:rsid w:val="006A1FAC"/>
    <w:rsid w:val="006D0A5F"/>
    <w:rsid w:val="006F4B03"/>
    <w:rsid w:val="00701B87"/>
    <w:rsid w:val="007256FA"/>
    <w:rsid w:val="00764C14"/>
    <w:rsid w:val="007710E1"/>
    <w:rsid w:val="00774D3C"/>
    <w:rsid w:val="007B31CD"/>
    <w:rsid w:val="007C7E03"/>
    <w:rsid w:val="007D0200"/>
    <w:rsid w:val="007F15C5"/>
    <w:rsid w:val="00806550"/>
    <w:rsid w:val="00811EA7"/>
    <w:rsid w:val="00816C67"/>
    <w:rsid w:val="00823D76"/>
    <w:rsid w:val="00835E44"/>
    <w:rsid w:val="008427D9"/>
    <w:rsid w:val="008715E6"/>
    <w:rsid w:val="008A5C8F"/>
    <w:rsid w:val="008C38C1"/>
    <w:rsid w:val="008F1562"/>
    <w:rsid w:val="009113F2"/>
    <w:rsid w:val="00911E38"/>
    <w:rsid w:val="0091661F"/>
    <w:rsid w:val="00945749"/>
    <w:rsid w:val="00992506"/>
    <w:rsid w:val="009978C3"/>
    <w:rsid w:val="009E3F21"/>
    <w:rsid w:val="009E476B"/>
    <w:rsid w:val="009E629E"/>
    <w:rsid w:val="009F5D86"/>
    <w:rsid w:val="00A17960"/>
    <w:rsid w:val="00A2348D"/>
    <w:rsid w:val="00A371A1"/>
    <w:rsid w:val="00A57548"/>
    <w:rsid w:val="00A9449C"/>
    <w:rsid w:val="00AB004D"/>
    <w:rsid w:val="00AE4260"/>
    <w:rsid w:val="00AF1B1E"/>
    <w:rsid w:val="00AF628B"/>
    <w:rsid w:val="00AF6BA6"/>
    <w:rsid w:val="00B07CB4"/>
    <w:rsid w:val="00B27E16"/>
    <w:rsid w:val="00B479A7"/>
    <w:rsid w:val="00B7518A"/>
    <w:rsid w:val="00BB467A"/>
    <w:rsid w:val="00BB6588"/>
    <w:rsid w:val="00BF10CD"/>
    <w:rsid w:val="00C020AE"/>
    <w:rsid w:val="00C02ADA"/>
    <w:rsid w:val="00C103BB"/>
    <w:rsid w:val="00C17824"/>
    <w:rsid w:val="00C31F51"/>
    <w:rsid w:val="00C37FC0"/>
    <w:rsid w:val="00C452D9"/>
    <w:rsid w:val="00C46B33"/>
    <w:rsid w:val="00C65CE4"/>
    <w:rsid w:val="00C70338"/>
    <w:rsid w:val="00CC5C6D"/>
    <w:rsid w:val="00D17A03"/>
    <w:rsid w:val="00D27319"/>
    <w:rsid w:val="00D70C07"/>
    <w:rsid w:val="00D82836"/>
    <w:rsid w:val="00D86564"/>
    <w:rsid w:val="00D95A3A"/>
    <w:rsid w:val="00DA176D"/>
    <w:rsid w:val="00DC1D84"/>
    <w:rsid w:val="00DC770B"/>
    <w:rsid w:val="00E0596D"/>
    <w:rsid w:val="00E07CE3"/>
    <w:rsid w:val="00E12972"/>
    <w:rsid w:val="00E21730"/>
    <w:rsid w:val="00E53A48"/>
    <w:rsid w:val="00E549E1"/>
    <w:rsid w:val="00E96E68"/>
    <w:rsid w:val="00EA5AA8"/>
    <w:rsid w:val="00ED2A98"/>
    <w:rsid w:val="00EE4BFC"/>
    <w:rsid w:val="00EE7972"/>
    <w:rsid w:val="00F00C68"/>
    <w:rsid w:val="00F0250F"/>
    <w:rsid w:val="00F04459"/>
    <w:rsid w:val="00F100B5"/>
    <w:rsid w:val="00F42FA5"/>
    <w:rsid w:val="00F4462F"/>
    <w:rsid w:val="00F7629F"/>
    <w:rsid w:val="00F8192C"/>
    <w:rsid w:val="00F862B2"/>
    <w:rsid w:val="00F90200"/>
    <w:rsid w:val="00F975B8"/>
    <w:rsid w:val="00FC0DB5"/>
    <w:rsid w:val="00FC729C"/>
    <w:rsid w:val="00FD107E"/>
    <w:rsid w:val="00FD1BDC"/>
    <w:rsid w:val="00FE4D9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7"/>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31CD"/>
    <w:pPr>
      <w:bidi/>
      <w:spacing w:after="0" w:line="240" w:lineRule="auto"/>
    </w:pPr>
    <w:rPr>
      <w:sz w:val="24"/>
      <w:szCs w:val="24"/>
    </w:rPr>
  </w:style>
  <w:style w:type="paragraph" w:styleId="1">
    <w:name w:val="heading 1"/>
    <w:basedOn w:val="a"/>
    <w:next w:val="a"/>
    <w:link w:val="10"/>
    <w:uiPriority w:val="9"/>
    <w:qFormat/>
    <w:locked/>
    <w:rsid w:val="00013278"/>
    <w:pPr>
      <w:keepNext/>
      <w:jc w:val="center"/>
      <w:outlineLvl w:val="0"/>
    </w:pPr>
    <w:rPr>
      <w:rFonts w:cs="Courier New"/>
      <w:b/>
      <w:bCs/>
      <w:sz w:val="20"/>
      <w:szCs w:val="36"/>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uiPriority w:val="9"/>
    <w:locked/>
    <w:rsid w:val="00013278"/>
    <w:rPr>
      <w:rFonts w:cs="Courier New"/>
      <w:b/>
      <w:bCs/>
      <w:sz w:val="36"/>
      <w:szCs w:val="36"/>
      <w:u w:val="single"/>
    </w:rPr>
  </w:style>
  <w:style w:type="paragraph" w:styleId="a3">
    <w:name w:val="header"/>
    <w:basedOn w:val="a"/>
    <w:link w:val="a4"/>
    <w:uiPriority w:val="99"/>
    <w:rsid w:val="00B479A7"/>
    <w:pPr>
      <w:tabs>
        <w:tab w:val="center" w:pos="4153"/>
        <w:tab w:val="right" w:pos="8306"/>
      </w:tabs>
    </w:pPr>
  </w:style>
  <w:style w:type="character" w:customStyle="1" w:styleId="a4">
    <w:name w:val="כותרת עליונה תו"/>
    <w:basedOn w:val="a0"/>
    <w:link w:val="a3"/>
    <w:uiPriority w:val="99"/>
    <w:locked/>
    <w:rsid w:val="001A5A82"/>
    <w:rPr>
      <w:rFonts w:cs="Times New Roman"/>
      <w:sz w:val="24"/>
      <w:szCs w:val="24"/>
      <w:lang w:val="en-US" w:eastAsia="en-US" w:bidi="he-IL"/>
    </w:rPr>
  </w:style>
  <w:style w:type="paragraph" w:styleId="a5">
    <w:name w:val="footer"/>
    <w:basedOn w:val="a"/>
    <w:link w:val="a6"/>
    <w:uiPriority w:val="99"/>
    <w:rsid w:val="00B479A7"/>
    <w:pPr>
      <w:tabs>
        <w:tab w:val="center" w:pos="4153"/>
        <w:tab w:val="right" w:pos="8306"/>
      </w:tabs>
    </w:pPr>
  </w:style>
  <w:style w:type="character" w:customStyle="1" w:styleId="a6">
    <w:name w:val="כותרת תחתונה תו"/>
    <w:basedOn w:val="a0"/>
    <w:link w:val="a5"/>
    <w:uiPriority w:val="99"/>
    <w:semiHidden/>
    <w:locked/>
    <w:rPr>
      <w:rFonts w:cs="Times New Roman"/>
      <w:sz w:val="24"/>
      <w:szCs w:val="24"/>
    </w:rPr>
  </w:style>
  <w:style w:type="character" w:styleId="a7">
    <w:name w:val="page number"/>
    <w:basedOn w:val="a0"/>
    <w:uiPriority w:val="99"/>
    <w:rsid w:val="00B479A7"/>
    <w:rPr>
      <w:rFonts w:cs="Arial"/>
    </w:rPr>
  </w:style>
  <w:style w:type="table" w:styleId="a8">
    <w:name w:val="Table Grid"/>
    <w:basedOn w:val="a1"/>
    <w:uiPriority w:val="99"/>
    <w:rsid w:val="00B479A7"/>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rsid w:val="005E0C08"/>
    <w:rPr>
      <w:rFonts w:ascii="Tahoma" w:hAnsi="Tahoma" w:cs="Tahoma"/>
      <w:sz w:val="16"/>
      <w:szCs w:val="16"/>
    </w:rPr>
  </w:style>
  <w:style w:type="character" w:customStyle="1" w:styleId="aa">
    <w:name w:val="טקסט בלונים תו"/>
    <w:basedOn w:val="a0"/>
    <w:link w:val="a9"/>
    <w:uiPriority w:val="99"/>
    <w:locked/>
    <w:rsid w:val="005E0C08"/>
    <w:rPr>
      <w:rFonts w:ascii="Tahoma" w:hAnsi="Tahoma" w:cs="Tahoma"/>
      <w:sz w:val="16"/>
      <w:szCs w:val="16"/>
    </w:rPr>
  </w:style>
  <w:style w:type="character" w:styleId="ab">
    <w:name w:val="Strong"/>
    <w:basedOn w:val="a0"/>
    <w:uiPriority w:val="22"/>
    <w:qFormat/>
    <w:locked/>
    <w:rsid w:val="00511F9A"/>
    <w:rPr>
      <w:rFonts w:cs="Times New Roman"/>
      <w:b/>
      <w:bCs/>
    </w:rPr>
  </w:style>
  <w:style w:type="paragraph" w:customStyle="1" w:styleId="Absatz06">
    <w:name w:val="_Absatz /06"/>
    <w:basedOn w:val="a"/>
    <w:rsid w:val="00C31F51"/>
    <w:pPr>
      <w:bidi w:val="0"/>
      <w:spacing w:after="120" w:line="260" w:lineRule="atLeast"/>
      <w:ind w:left="567"/>
      <w:jc w:val="both"/>
    </w:pPr>
    <w:rPr>
      <w:rFonts w:ascii="Arial" w:eastAsia="MS Mincho" w:hAnsi="Arial" w:cs="Arial"/>
      <w:sz w:val="20"/>
      <w:szCs w:val="20"/>
      <w:lang w:val="de-DE" w:bidi="ar-SA"/>
    </w:rPr>
  </w:style>
  <w:style w:type="paragraph" w:customStyle="1" w:styleId="berschrift">
    <w:name w:val="_Überschrift"/>
    <w:basedOn w:val="a"/>
    <w:rsid w:val="00236793"/>
    <w:pPr>
      <w:bidi w:val="0"/>
      <w:spacing w:before="240" w:after="240" w:line="260" w:lineRule="atLeast"/>
      <w:ind w:left="567" w:hanging="567"/>
    </w:pPr>
    <w:rPr>
      <w:rFonts w:ascii="Arial" w:eastAsia="MS Mincho" w:hAnsi="Arial" w:cs="Arial"/>
      <w:b/>
      <w:bCs/>
      <w:sz w:val="20"/>
      <w:szCs w:val="20"/>
      <w:lang w:val="de-DE" w:bidi="ar-SA"/>
    </w:rPr>
  </w:style>
  <w:style w:type="paragraph" w:styleId="ac">
    <w:name w:val="List Paragraph"/>
    <w:basedOn w:val="a"/>
    <w:uiPriority w:val="34"/>
    <w:qFormat/>
    <w:rsid w:val="0023679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31CD"/>
    <w:pPr>
      <w:bidi/>
      <w:spacing w:after="0" w:line="240" w:lineRule="auto"/>
    </w:pPr>
    <w:rPr>
      <w:sz w:val="24"/>
      <w:szCs w:val="24"/>
    </w:rPr>
  </w:style>
  <w:style w:type="paragraph" w:styleId="1">
    <w:name w:val="heading 1"/>
    <w:basedOn w:val="a"/>
    <w:next w:val="a"/>
    <w:link w:val="10"/>
    <w:uiPriority w:val="9"/>
    <w:qFormat/>
    <w:locked/>
    <w:rsid w:val="00013278"/>
    <w:pPr>
      <w:keepNext/>
      <w:jc w:val="center"/>
      <w:outlineLvl w:val="0"/>
    </w:pPr>
    <w:rPr>
      <w:rFonts w:cs="Courier New"/>
      <w:b/>
      <w:bCs/>
      <w:sz w:val="20"/>
      <w:szCs w:val="36"/>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uiPriority w:val="9"/>
    <w:locked/>
    <w:rsid w:val="00013278"/>
    <w:rPr>
      <w:rFonts w:cs="Courier New"/>
      <w:b/>
      <w:bCs/>
      <w:sz w:val="36"/>
      <w:szCs w:val="36"/>
      <w:u w:val="single"/>
    </w:rPr>
  </w:style>
  <w:style w:type="paragraph" w:styleId="a3">
    <w:name w:val="header"/>
    <w:basedOn w:val="a"/>
    <w:link w:val="a4"/>
    <w:uiPriority w:val="99"/>
    <w:rsid w:val="00B479A7"/>
    <w:pPr>
      <w:tabs>
        <w:tab w:val="center" w:pos="4153"/>
        <w:tab w:val="right" w:pos="8306"/>
      </w:tabs>
    </w:pPr>
  </w:style>
  <w:style w:type="character" w:customStyle="1" w:styleId="a4">
    <w:name w:val="כותרת עליונה תו"/>
    <w:basedOn w:val="a0"/>
    <w:link w:val="a3"/>
    <w:uiPriority w:val="99"/>
    <w:locked/>
    <w:rsid w:val="001A5A82"/>
    <w:rPr>
      <w:rFonts w:cs="Times New Roman"/>
      <w:sz w:val="24"/>
      <w:szCs w:val="24"/>
      <w:lang w:val="en-US" w:eastAsia="en-US" w:bidi="he-IL"/>
    </w:rPr>
  </w:style>
  <w:style w:type="paragraph" w:styleId="a5">
    <w:name w:val="footer"/>
    <w:basedOn w:val="a"/>
    <w:link w:val="a6"/>
    <w:uiPriority w:val="99"/>
    <w:rsid w:val="00B479A7"/>
    <w:pPr>
      <w:tabs>
        <w:tab w:val="center" w:pos="4153"/>
        <w:tab w:val="right" w:pos="8306"/>
      </w:tabs>
    </w:pPr>
  </w:style>
  <w:style w:type="character" w:customStyle="1" w:styleId="a6">
    <w:name w:val="כותרת תחתונה תו"/>
    <w:basedOn w:val="a0"/>
    <w:link w:val="a5"/>
    <w:uiPriority w:val="99"/>
    <w:semiHidden/>
    <w:locked/>
    <w:rPr>
      <w:rFonts w:cs="Times New Roman"/>
      <w:sz w:val="24"/>
      <w:szCs w:val="24"/>
    </w:rPr>
  </w:style>
  <w:style w:type="character" w:styleId="a7">
    <w:name w:val="page number"/>
    <w:basedOn w:val="a0"/>
    <w:uiPriority w:val="99"/>
    <w:rsid w:val="00B479A7"/>
    <w:rPr>
      <w:rFonts w:cs="Arial"/>
    </w:rPr>
  </w:style>
  <w:style w:type="table" w:styleId="a8">
    <w:name w:val="Table Grid"/>
    <w:basedOn w:val="a1"/>
    <w:uiPriority w:val="99"/>
    <w:rsid w:val="00B479A7"/>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rsid w:val="005E0C08"/>
    <w:rPr>
      <w:rFonts w:ascii="Tahoma" w:hAnsi="Tahoma" w:cs="Tahoma"/>
      <w:sz w:val="16"/>
      <w:szCs w:val="16"/>
    </w:rPr>
  </w:style>
  <w:style w:type="character" w:customStyle="1" w:styleId="aa">
    <w:name w:val="טקסט בלונים תו"/>
    <w:basedOn w:val="a0"/>
    <w:link w:val="a9"/>
    <w:uiPriority w:val="99"/>
    <w:locked/>
    <w:rsid w:val="005E0C08"/>
    <w:rPr>
      <w:rFonts w:ascii="Tahoma" w:hAnsi="Tahoma" w:cs="Tahoma"/>
      <w:sz w:val="16"/>
      <w:szCs w:val="16"/>
    </w:rPr>
  </w:style>
  <w:style w:type="character" w:styleId="ab">
    <w:name w:val="Strong"/>
    <w:basedOn w:val="a0"/>
    <w:uiPriority w:val="22"/>
    <w:qFormat/>
    <w:locked/>
    <w:rsid w:val="00511F9A"/>
    <w:rPr>
      <w:rFonts w:cs="Times New Roman"/>
      <w:b/>
      <w:bCs/>
    </w:rPr>
  </w:style>
  <w:style w:type="paragraph" w:customStyle="1" w:styleId="Absatz06">
    <w:name w:val="_Absatz /06"/>
    <w:basedOn w:val="a"/>
    <w:rsid w:val="00C31F51"/>
    <w:pPr>
      <w:bidi w:val="0"/>
      <w:spacing w:after="120" w:line="260" w:lineRule="atLeast"/>
      <w:ind w:left="567"/>
      <w:jc w:val="both"/>
    </w:pPr>
    <w:rPr>
      <w:rFonts w:ascii="Arial" w:eastAsia="MS Mincho" w:hAnsi="Arial" w:cs="Arial"/>
      <w:sz w:val="20"/>
      <w:szCs w:val="20"/>
      <w:lang w:val="de-DE" w:bidi="ar-SA"/>
    </w:rPr>
  </w:style>
  <w:style w:type="paragraph" w:customStyle="1" w:styleId="berschrift">
    <w:name w:val="_Überschrift"/>
    <w:basedOn w:val="a"/>
    <w:rsid w:val="00236793"/>
    <w:pPr>
      <w:bidi w:val="0"/>
      <w:spacing w:before="240" w:after="240" w:line="260" w:lineRule="atLeast"/>
      <w:ind w:left="567" w:hanging="567"/>
    </w:pPr>
    <w:rPr>
      <w:rFonts w:ascii="Arial" w:eastAsia="MS Mincho" w:hAnsi="Arial" w:cs="Arial"/>
      <w:b/>
      <w:bCs/>
      <w:sz w:val="20"/>
      <w:szCs w:val="20"/>
      <w:lang w:val="de-DE" w:bidi="ar-SA"/>
    </w:rPr>
  </w:style>
  <w:style w:type="paragraph" w:styleId="ac">
    <w:name w:val="List Paragraph"/>
    <w:basedOn w:val="a"/>
    <w:uiPriority w:val="34"/>
    <w:qFormat/>
    <w:rsid w:val="0023679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ustomXml" Target="../customXml/item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סוג תוכן- הסבה" ma:contentTypeID="0x0101003087E69DB9DC9043B61CAF33AD2347EC02001CBDDCEF83C24E4BB60E8B2AD3F1B4C6" ma:contentTypeVersion="22" ma:contentTypeDescription="צור מסמך חדש." ma:contentTypeScope="" ma:versionID="dbd3b5219057090d197959a30082fa29">
  <xsd:schema xmlns:xsd="http://www.w3.org/2001/XMLSchema" xmlns:xs="http://www.w3.org/2001/XMLSchema" xmlns:p="http://schemas.microsoft.com/office/2006/metadata/properties" xmlns:ns2="43f5c83f-d7ad-4276-a107-8019a824ecd5" targetNamespace="http://schemas.microsoft.com/office/2006/metadata/properties" ma:root="true" ma:fieldsID="b26f3833a3170865408a61f736275e07" ns2:_="">
    <xsd:import namespace="43f5c83f-d7ad-4276-a107-8019a824ecd5"/>
    <xsd:element name="properties">
      <xsd:complexType>
        <xsd:sequence>
          <xsd:element name="documentManagement">
            <xsd:complexType>
              <xsd:all>
                <xsd:element ref="ns2:AutoNumber" minOccurs="0"/>
                <xsd:element ref="ns2:SDCategories" minOccurs="0"/>
                <xsd:element ref="ns2:SDCategoryID" minOccurs="0"/>
                <xsd:element ref="ns2:SDDocumentSource" minOccurs="0"/>
                <xsd:element ref="ns2:SDAuthor" minOccurs="0"/>
                <xsd:element ref="ns2:SDDocDate" minOccurs="0"/>
                <xsd:element ref="ns2:SDHebDate" minOccurs="0"/>
                <xsd:element ref="ns2:SDOriginalID" minOccurs="0"/>
                <xsd:element ref="ns2:SDOfflineTo" minOccurs="0"/>
                <xsd:element ref="ns2:SDAsmachta" minOccurs="0"/>
                <xsd:element ref="ns2:SDImportance" minOccurs="0"/>
                <xsd:element ref="ns2:SDLastSigningDate" minOccurs="0"/>
                <xsd:element ref="ns2:SDNumOfSignatures" minOccurs="0"/>
                <xsd:element ref="ns2:SDSignersLogins" minOccurs="0"/>
                <xsd:element ref="ns2:ARCHIVEINDICATION" minOccurs="0"/>
                <xsd:element ref="ns2:DOCUMENTTYPE" minOccurs="0"/>
                <xsd:element ref="ns2:DRAGOBJID" minOccurs="0"/>
                <xsd:element ref="ns2:FILEEXT" minOccurs="0"/>
                <xsd:element ref="ns2:ISPUBLIC" minOccurs="0"/>
                <xsd:element ref="ns2:LANGUAGE" minOccurs="0"/>
                <xsd:element ref="ns2:OWNER" minOccurs="0"/>
                <xsd:element ref="ns2:PRODUCER" minOccurs="0"/>
                <xsd:element ref="ns2:REGISTRATIONNUMBER" minOccurs="0"/>
                <xsd:element ref="ns2:REQUESTNUMBER" minOccurs="0"/>
                <xsd:element ref="ns2:REQUESTTYPE" minOccurs="0"/>
                <xsd:element ref="ns2:SAPNAME" minOccurs="0"/>
                <xsd:element ref="ns2:UCOMMENTS" minOccurs="0"/>
                <xsd:element ref="ns2:UPDATEDBY" minOccurs="0"/>
                <xsd:element ref="ns2:mossuploaddate" minOccurs="0"/>
                <xsd:element ref="ns2:SDExternalEntityConnec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f5c83f-d7ad-4276-a107-8019a824ecd5" elementFormDefault="qualified">
    <xsd:import namespace="http://schemas.microsoft.com/office/2006/documentManagement/types"/>
    <xsd:import namespace="http://schemas.microsoft.com/office/infopath/2007/PartnerControls"/>
    <xsd:element name="AutoNumber" ma:index="1" nillable="true" ma:displayName="AutoNumber" ma:indexed="true" ma:internalName="AutoNumber">
      <xsd:simpleType>
        <xsd:restriction base="dms:Text"/>
      </xsd:simpleType>
    </xsd:element>
    <xsd:element name="SDCategories" ma:index="2" nillable="true" ma:displayName="SDCategories" ma:internalName="SDCategories">
      <xsd:simpleType>
        <xsd:restriction base="dms:Note"/>
      </xsd:simpleType>
    </xsd:element>
    <xsd:element name="SDCategoryID" ma:index="3" nillable="true" ma:displayName="SDCategoryID" ma:indexed="true" ma:internalName="SDCategoryID">
      <xsd:simpleType>
        <xsd:restriction base="dms:Text"/>
      </xsd:simpleType>
    </xsd:element>
    <xsd:element name="SDDocumentSource" ma:index="4" nillable="true" ma:displayName="SDDocumentSource" ma:internalName="SDDocumentSource">
      <xsd:simpleType>
        <xsd:restriction base="dms:Choice">
          <xsd:enumeration value="SDFileUpload"/>
          <xsd:enumeration value="SDNewFile"/>
          <xsd:enumeration value="SDMultiFilesUpload"/>
          <xsd:enumeration value="OutlookExtender"/>
          <xsd:enumeration value="SDMigration"/>
          <xsd:enumeration value="OfficeAddIn"/>
          <xsd:enumeration value="ArchiveScan"/>
          <xsd:enumeration value="PCDocs"/>
          <xsd:enumeration value="PST"/>
          <xsd:enumeration value="D2K"/>
          <xsd:enumeration value="Menahel"/>
          <xsd:enumeration value="ShipmentLoader"/>
          <xsd:enumeration value="PoliceOffices"/>
          <xsd:enumeration value="AGATForms"/>
          <xsd:enumeration value="SDK"/>
          <xsd:enumeration value="Other"/>
        </xsd:restriction>
      </xsd:simpleType>
    </xsd:element>
    <xsd:element name="SDAuthor" ma:index="5" nillable="true" ma:displayName="SDAuthor" ma:indexed="true" ma:internalName="SDAuthor">
      <xsd:simpleType>
        <xsd:restriction base="dms:Text"/>
      </xsd:simpleType>
    </xsd:element>
    <xsd:element name="SDDocDate" ma:index="6" nillable="true" ma:displayName="SDDocDate" ma:indexed="true" ma:internalName="SDDocDate">
      <xsd:simpleType>
        <xsd:restriction base="dms:DateTime"/>
      </xsd:simpleType>
    </xsd:element>
    <xsd:element name="SDHebDate" ma:index="7" nillable="true" ma:displayName="SDHebDate" ma:internalName="SDHebDate">
      <xsd:simpleType>
        <xsd:restriction base="dms:Text"/>
      </xsd:simpleType>
    </xsd:element>
    <xsd:element name="SDOriginalID" ma:index="8" nillable="true" ma:displayName="SDOriginalID" ma:internalName="SDOriginalID">
      <xsd:simpleType>
        <xsd:restriction base="dms:Text"/>
      </xsd:simpleType>
    </xsd:element>
    <xsd:element name="SDOfflineTo" ma:index="9" nillable="true" ma:displayName="SDOfflineTo" ma:internalName="SDOfflineTo">
      <xsd:simpleType>
        <xsd:restriction base="dms:Text"/>
      </xsd:simpleType>
    </xsd:element>
    <xsd:element name="SDAsmachta" ma:index="10" nillable="true" ma:displayName="SDAsmachta" ma:internalName="SDAsmachta">
      <xsd:simpleType>
        <xsd:restriction base="dms:Text"/>
      </xsd:simpleType>
    </xsd:element>
    <xsd:element name="SDImportance" ma:index="11" nillable="true" ma:displayName="SDImportance" ma:internalName="SDImportance">
      <xsd:simpleType>
        <xsd:restriction base="dms:Number"/>
      </xsd:simpleType>
    </xsd:element>
    <xsd:element name="SDLastSigningDate" ma:index="12" nillable="true" ma:displayName="SDLastSigningDate" ma:internalName="SDLastSigningDate">
      <xsd:simpleType>
        <xsd:restriction base="dms:DateTime"/>
      </xsd:simpleType>
    </xsd:element>
    <xsd:element name="SDNumOfSignatures" ma:index="13" nillable="true" ma:displayName="SDNumOfSignatures" ma:internalName="SDNumOfSignatures">
      <xsd:simpleType>
        <xsd:restriction base="dms:Number"/>
      </xsd:simpleType>
    </xsd:element>
    <xsd:element name="SDSignersLogins" ma:index="14" nillable="true" ma:displayName="SDSignersLogins" ma:internalName="SDSignersLogins">
      <xsd:simpleType>
        <xsd:restriction base="dms:Text"/>
      </xsd:simpleType>
    </xsd:element>
    <xsd:element name="ARCHIVEINDICATION" ma:index="15" nillable="true" ma:displayName="האם הועלה דרך הארכיון" ma:default="" ma:internalName="ARCHIVEINDICATION">
      <xsd:simpleType>
        <xsd:restriction base="dms:Number"/>
      </xsd:simpleType>
    </xsd:element>
    <xsd:element name="DOCUMENTTYPE" ma:index="16" nillable="true" ma:displayName="סוג מסמך" ma:default="" ma:internalName="DOCUMENTTYPE">
      <xsd:simpleType>
        <xsd:restriction base="dms:Text"/>
      </xsd:simpleType>
    </xsd:element>
    <xsd:element name="DRAGOBJID" ma:index="17" nillable="true" ma:displayName="מספר תכשיר" ma:default="" ma:internalName="DRAGOBJID">
      <xsd:simpleType>
        <xsd:restriction base="dms:Text"/>
      </xsd:simpleType>
    </xsd:element>
    <xsd:element name="FILEEXT" ma:index="18" nillable="true" ma:displayName="סיומת קובץ" ma:default="" ma:internalName="FILEEXT">
      <xsd:simpleType>
        <xsd:restriction base="dms:Text"/>
      </xsd:simpleType>
    </xsd:element>
    <xsd:element name="ISPUBLIC" ma:index="19" nillable="true" ma:displayName="האם מיוצא לאינטרנט" ma:default="" ma:internalName="ISPUBLIC">
      <xsd:simpleType>
        <xsd:restriction base="dms:Text"/>
      </xsd:simpleType>
    </xsd:element>
    <xsd:element name="LANGUAGE" ma:index="20" nillable="true" ma:displayName="שפה" ma:default="" ma:internalName="LANGUAGE">
      <xsd:simpleType>
        <xsd:restriction base="dms:Text"/>
      </xsd:simpleType>
    </xsd:element>
    <xsd:element name="OWNER" ma:index="21" nillable="true" ma:displayName="בעל רישום" ma:default="" ma:internalName="OWNER">
      <xsd:simpleType>
        <xsd:restriction base="dms:Text"/>
      </xsd:simpleType>
    </xsd:element>
    <xsd:element name="PRODUCER" ma:index="22" nillable="true" ma:displayName="יצרן" ma:default="" ma:internalName="PRODUCER">
      <xsd:simpleType>
        <xsd:restriction base="dms:Text"/>
      </xsd:simpleType>
    </xsd:element>
    <xsd:element name="REGISTRATIONNUMBER" ma:index="23" nillable="true" ma:displayName="מספר רישום" ma:default="" ma:internalName="REGISTRATIONNUMBER">
      <xsd:simpleType>
        <xsd:restriction base="dms:Text"/>
      </xsd:simpleType>
    </xsd:element>
    <xsd:element name="REQUESTNUMBER" ma:index="24" nillable="true" ma:displayName="מספר פניה" ma:default="" ma:internalName="REQUESTNUMBER">
      <xsd:simpleType>
        <xsd:restriction base="dms:Text"/>
      </xsd:simpleType>
    </xsd:element>
    <xsd:element name="REQUESTTYPE" ma:index="25" nillable="true" ma:displayName="סוג פניה" ma:default="" ma:internalName="REQUESTTYPE">
      <xsd:simpleType>
        <xsd:restriction base="dms:Text"/>
      </xsd:simpleType>
    </xsd:element>
    <xsd:element name="SAPNAME" ma:index="26" nillable="true" ma:displayName="משתמש יוצר" ma:default="" ma:internalName="SAPNAME">
      <xsd:simpleType>
        <xsd:restriction base="dms:Text"/>
      </xsd:simpleType>
    </xsd:element>
    <xsd:element name="UCOMMENTS" ma:index="27" nillable="true" ma:displayName="הערות" ma:default="" ma:internalName="UCOMMENTS">
      <xsd:simpleType>
        <xsd:restriction base="dms:Text"/>
      </xsd:simpleType>
    </xsd:element>
    <xsd:element name="UPDATEDBY" ma:index="28" nillable="true" ma:displayName="משתמש מעדכן" ma:default="" ma:internalName="UPDATEDBY">
      <xsd:simpleType>
        <xsd:restriction base="dms:Text"/>
      </xsd:simpleType>
    </xsd:element>
    <xsd:element name="mossuploaddate" ma:index="29" nillable="true" ma:displayName="mossuploaddate" ma:internalName="mossuploaddate">
      <xsd:simpleType>
        <xsd:restriction base="dms:Text">
          <xsd:maxLength value="255"/>
        </xsd:restriction>
      </xsd:simpleType>
    </xsd:element>
    <xsd:element name="SDExternalEntityConnected" ma:index="30" nillable="true" ma:displayName="מקושר לאפליקציה חיצונית" ma:internalName="SDExternalEntityConnect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ma:index="0"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AutoNumber xmlns="43f5c83f-d7ad-4276-a107-8019a824ecd5">164763816</AutoNumber>
    <REQUESTNUMBER xmlns="43f5c83f-d7ad-4276-a107-8019a824ecd5">92905,94609</REQUESTNUMBER>
    <SDAuthor xmlns="43f5c83f-d7ad-4276-a107-8019a824ecd5">efrat.vaingort</SDAuthor>
    <SDCategoryID xmlns="43f5c83f-d7ad-4276-a107-8019a824ecd5" xsi:nil="true"/>
    <UPDATEDBY xmlns="43f5c83f-d7ad-4276-a107-8019a824ecd5" xsi:nil="true"/>
    <ARCHIVEINDICATION xmlns="43f5c83f-d7ad-4276-a107-8019a824ecd5">0</ARCHIVEINDICATION>
    <PRODUCER xmlns="43f5c83f-d7ad-4276-a107-8019a824ecd5">33410,103877</PRODUCER>
    <SDLastSigningDate xmlns="43f5c83f-d7ad-4276-a107-8019a824ecd5" xsi:nil="true"/>
    <SDOfflineTo xmlns="43f5c83f-d7ad-4276-a107-8019a824ecd5" xsi:nil="true"/>
    <SDAsmachta xmlns="43f5c83f-d7ad-4276-a107-8019a824ecd5" xsi:nil="true"/>
    <SDNumOfSignatures xmlns="43f5c83f-d7ad-4276-a107-8019a824ecd5" xsi:nil="true"/>
    <REQUESTTYPE xmlns="43f5c83f-d7ad-4276-a107-8019a824ecd5">2,13</REQUESTTYPE>
    <UCOMMENTS xmlns="43f5c83f-d7ad-4276-a107-8019a824ecd5">טופס החמרות לעלון לרופא 03.14</UCOMMENTS>
    <OWNER xmlns="43f5c83f-d7ad-4276-a107-8019a824ecd5">722,722</OWNER>
    <ISPUBLIC xmlns="43f5c83f-d7ad-4276-a107-8019a824ecd5">1</ISPUBLIC>
    <SDHebDate xmlns="43f5c83f-d7ad-4276-a107-8019a824ecd5">ד' באדר, התרס"ג</SDHebDate>
    <SDOriginalID xmlns="43f5c83f-d7ad-4276-a107-8019a824ecd5" xsi:nil="true"/>
    <SDSignersLogins xmlns="43f5c83f-d7ad-4276-a107-8019a824ecd5" xsi:nil="true"/>
    <DOCUMENTTYPE xmlns="43f5c83f-d7ad-4276-a107-8019a824ecd5">70</DOCUMENTTYPE>
    <LANGUAGE xmlns="43f5c83f-d7ad-4276-a107-8019a824ecd5">_</LANGUAGE>
    <FILEEXT xmlns="43f5c83f-d7ad-4276-a107-8019a824ecd5">docx</FILEEXT>
    <SAPNAME xmlns="43f5c83f-d7ad-4276-a107-8019a824ecd5">357</SAPNAME>
    <SDDocumentSource xmlns="43f5c83f-d7ad-4276-a107-8019a824ecd5" xsi:nil="true"/>
    <SDImportance xmlns="43f5c83f-d7ad-4276-a107-8019a824ecd5" xsi:nil="true"/>
    <REGISTRATIONNUMBER xmlns="43f5c83f-d7ad-4276-a107-8019a824ecd5">2802000,2802001</REGISTRATIONNUMBER>
    <SDCategories xmlns="43f5c83f-d7ad-4276-a107-8019a824ecd5" xsi:nil="true"/>
    <SDDocDate xmlns="43f5c83f-d7ad-4276-a107-8019a824ecd5">1903-03-03T06:00:01+00:00</SDDocDate>
    <DRAGOBJID xmlns="43f5c83f-d7ad-4276-a107-8019a824ecd5">2802000,2802001</DRAGOBJID>
    <mossuploaddate xmlns="43f5c83f-d7ad-4276-a107-8019a824ecd5">2014-03-12 14:30:53</mossuploaddate>
    <SDExternalEntityConnected xmlns="43f5c83f-d7ad-4276-a107-8019a824ecd5" xsi:nil="true"/>
  </documentManagement>
</p:properties>
</file>

<file path=customXml/itemProps1.xml><?xml version="1.0" encoding="utf-8"?>
<ds:datastoreItem xmlns:ds="http://schemas.openxmlformats.org/officeDocument/2006/customXml" ds:itemID="{DF8871E9-D1BA-434A-A4EB-D58425AAC15B}"/>
</file>

<file path=customXml/itemProps2.xml><?xml version="1.0" encoding="utf-8"?>
<ds:datastoreItem xmlns:ds="http://schemas.openxmlformats.org/officeDocument/2006/customXml" ds:itemID="{232D841C-3463-4C55-BCBC-6F29971DC6E8}"/>
</file>

<file path=customXml/itemProps3.xml><?xml version="1.0" encoding="utf-8"?>
<ds:datastoreItem xmlns:ds="http://schemas.openxmlformats.org/officeDocument/2006/customXml" ds:itemID="{B57B59CD-07A5-4977-851D-F27720A8BF5F}"/>
</file>

<file path=docProps/app.xml><?xml version="1.0" encoding="utf-8"?>
<Properties xmlns="http://schemas.openxmlformats.org/officeDocument/2006/extended-properties" xmlns:vt="http://schemas.openxmlformats.org/officeDocument/2006/docPropsVTypes">
  <Template>Normal</Template>
  <TotalTime>14</TotalTime>
  <Pages>3</Pages>
  <Words>568</Words>
  <Characters>3699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sanofi-aventis</Company>
  <LinksUpToDate>false</LinksUpToDate>
  <CharactersWithSpaces>4259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ferrlecit 28020 spc worsening 03.14</dc:title>
  <dc:creator>Pundak</dc:creator>
  <cp:lastModifiedBy>מילי דיוינסקי</cp:lastModifiedBy>
  <cp:revision>19</cp:revision>
  <cp:lastPrinted>2013-10-24T08:29:00Z</cp:lastPrinted>
  <dcterms:created xsi:type="dcterms:W3CDTF">2014-02-02T13:11:00Z</dcterms:created>
  <dcterms:modified xsi:type="dcterms:W3CDTF">2014-02-25T08:20:00Z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-1074886421</vt:i4>
  </property>
  <property fmtid="{D5CDD505-2E9C-101B-9397-08002B2CF9AE}" pid="3" name="_NewReviewCycle">
    <vt:lpwstr/>
  </property>
  <property fmtid="{D5CDD505-2E9C-101B-9397-08002B2CF9AE}" pid="4" name="_EmailSubject">
    <vt:lpwstr>Ferrlecit 1256728020 - EU Article 31 referral on all IV Iron products  - עדכון העלון לרופא</vt:lpwstr>
  </property>
  <property fmtid="{D5CDD505-2E9C-101B-9397-08002B2CF9AE}" pid="5" name="_AuthorEmail">
    <vt:lpwstr>Galia.Hochstadt@sanofi.com</vt:lpwstr>
  </property>
  <property fmtid="{D5CDD505-2E9C-101B-9397-08002B2CF9AE}" pid="6" name="_AuthorEmailDisplayName">
    <vt:lpwstr>Hochstadt, Galia PH/IL</vt:lpwstr>
  </property>
  <property fmtid="{D5CDD505-2E9C-101B-9397-08002B2CF9AE}" pid="7" name="_ReviewingToolsShownOnce">
    <vt:lpwstr/>
  </property>
  <property fmtid="{D5CDD505-2E9C-101B-9397-08002B2CF9AE}" pid="8" name="ARCHIVE_INDICATION">
    <vt:lpwstr>1</vt:lpwstr>
  </property>
  <property fmtid="{D5CDD505-2E9C-101B-9397-08002B2CF9AE}" pid="9" name="DOCM_CREATION_DATE">
    <vt:lpwstr>null</vt:lpwstr>
  </property>
  <property fmtid="{D5CDD505-2E9C-101B-9397-08002B2CF9AE}" pid="10" name="ContentTypeId">
    <vt:lpwstr>0x0101003087E69DB9DC9043B61CAF33AD2347EC02001CBDDCEF83C24E4BB60E8B2AD3F1B4C6</vt:lpwstr>
  </property>
</Properties>
</file>