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Default="00A9463E" w:rsidP="00015456">
      <w:pPr>
        <w:pStyle w:val="Heading1"/>
        <w:ind w:left="-285" w:right="-142" w:firstLine="28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 w:rsidR="00015456">
        <w:rPr>
          <w:rFonts w:cs="David Transparent" w:hint="cs"/>
          <w:emboss/>
          <w:color w:val="C0C0C0"/>
          <w:u w:val="none"/>
          <w:shd w:val="clear" w:color="auto" w:fill="000000"/>
          <w:rtl/>
        </w:rPr>
        <w:t>רופא</w:t>
      </w:r>
      <w:r w:rsidR="00E41CF3"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E41CF3" w:rsidP="00015456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="00A9463E"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Pr="00E04CAE" w:rsidRDefault="00A9463E" w:rsidP="00A9463E">
      <w:pPr>
        <w:rPr>
          <w:rFonts w:ascii="Calibri" w:hAnsi="Calibri" w:cs="Calibri"/>
          <w:b/>
          <w:bCs/>
          <w:rtl/>
        </w:rPr>
      </w:pPr>
    </w:p>
    <w:p w:rsidR="00A9463E" w:rsidRPr="00E04CAE" w:rsidRDefault="00A9463E" w:rsidP="007345B5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E04CAE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8"/>
          <w:szCs w:val="28"/>
          <w:rtl/>
        </w:rPr>
        <w:t>תאריך</w:t>
      </w:r>
      <w:r w:rsidRPr="00E04CAE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345B5" w:rsidRPr="007345B5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06.08.2013</w:t>
      </w:r>
    </w:p>
    <w:p w:rsidR="00A9463E" w:rsidRPr="00E04CAE" w:rsidRDefault="00A9463E" w:rsidP="00EE1D0D">
      <w:pPr>
        <w:spacing w:line="360" w:lineRule="auto"/>
        <w:rPr>
          <w:rFonts w:ascii="Calibri" w:hAnsi="Calibri" w:cs="Calibri"/>
          <w:b/>
          <w:bCs/>
          <w:szCs w:val="28"/>
          <w:rtl/>
        </w:rPr>
      </w:pPr>
      <w:r w:rsidRPr="00E04CAE">
        <w:rPr>
          <w:rFonts w:ascii="Calibri" w:hAnsi="Calibri" w:cs="David Transparent"/>
          <w:b/>
          <w:bCs/>
          <w:szCs w:val="28"/>
          <w:rtl/>
        </w:rPr>
        <w:t>שם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תכשיר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באנגלית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ומספר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הרישום</w:t>
      </w:r>
      <w:r w:rsidR="00DA1744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proofErr w:type="spellStart"/>
      <w:r w:rsidR="00EE1D0D" w:rsidRPr="00EE1D0D">
        <w:rPr>
          <w:rFonts w:ascii="Calibri" w:hAnsi="Calibri" w:cs="Calibri" w:hint="cs"/>
          <w:b/>
          <w:bCs/>
          <w:sz w:val="28"/>
          <w:szCs w:val="28"/>
          <w:u w:val="single"/>
        </w:rPr>
        <w:t>P</w:t>
      </w:r>
      <w:r w:rsidR="00EE1D0D" w:rsidRPr="00EE1D0D">
        <w:rPr>
          <w:rFonts w:ascii="Calibri" w:hAnsi="Calibri" w:cs="Calibri"/>
          <w:b/>
          <w:bCs/>
          <w:sz w:val="28"/>
          <w:szCs w:val="28"/>
          <w:u w:val="single"/>
        </w:rPr>
        <w:t>rolia</w:t>
      </w:r>
      <w:proofErr w:type="spellEnd"/>
      <w:r w:rsidR="00EE1D0D" w:rsidRPr="00EE1D0D">
        <w:rPr>
          <w:rFonts w:ascii="Calibri" w:hAnsi="Calibri" w:cs="Calibri"/>
          <w:b/>
          <w:bCs/>
          <w:sz w:val="28"/>
          <w:szCs w:val="28"/>
          <w:u w:val="single"/>
        </w:rPr>
        <w:t xml:space="preserve"> 60</w:t>
      </w:r>
      <w:r w:rsidR="00EE1D0D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EE1D0D" w:rsidRPr="00EE1D0D">
        <w:rPr>
          <w:rFonts w:ascii="Calibri" w:hAnsi="Calibri" w:cs="Calibri"/>
          <w:b/>
          <w:bCs/>
          <w:sz w:val="28"/>
          <w:szCs w:val="28"/>
          <w:u w:val="single"/>
        </w:rPr>
        <w:t>mg 146-25-33253</w:t>
      </w:r>
    </w:p>
    <w:p w:rsidR="00EE3F64" w:rsidRDefault="00EF09EC" w:rsidP="00EE3F64">
      <w:pPr>
        <w:spacing w:line="360" w:lineRule="auto"/>
        <w:rPr>
          <w:rFonts w:cs="David Transparent"/>
          <w:color w:val="FF0000"/>
          <w:szCs w:val="28"/>
          <w:rtl/>
        </w:rPr>
      </w:pP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שם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בעל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הרישום</w:t>
      </w:r>
      <w:r w:rsidR="00DA1744"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="00E04CAE" w:rsidRPr="00E04CAE">
        <w:rPr>
          <w:rFonts w:ascii="Calibri" w:hAnsi="Calibri" w:cs="Calibri"/>
          <w:b/>
          <w:bCs/>
          <w:sz w:val="28"/>
          <w:szCs w:val="28"/>
          <w:u w:val="single"/>
        </w:rPr>
        <w:t xml:space="preserve">GlaxoSmithKline (ISRAEL) Ltd  </w:t>
      </w:r>
      <w:r w:rsidR="00E04CAE" w:rsidRPr="00E04CAE">
        <w:rPr>
          <w:rFonts w:ascii="Calibri" w:hAnsi="Calibri" w:cs="Calibri"/>
          <w:b/>
          <w:bCs/>
          <w:sz w:val="26"/>
          <w:szCs w:val="26"/>
        </w:rPr>
        <w:t xml:space="preserve"> : </w:t>
      </w:r>
    </w:p>
    <w:p w:rsidR="00C02735" w:rsidRDefault="00C02735" w:rsidP="00EE3F64">
      <w:pPr>
        <w:spacing w:line="360" w:lineRule="auto"/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F03688" w:rsidRDefault="00F03688" w:rsidP="00E04CAE">
      <w:pPr>
        <w:rPr>
          <w:rFonts w:cs="David Transparent"/>
          <w:emboss/>
          <w:color w:val="C0C0C0"/>
          <w:shd w:val="clear" w:color="auto" w:fill="000000"/>
          <w:rtl/>
        </w:rPr>
      </w:pPr>
    </w:p>
    <w:p w:rsidR="00A9463E" w:rsidRPr="00F03688" w:rsidRDefault="00E04CAE" w:rsidP="00F03688">
      <w:pPr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cs="David Transparent" w:hint="cs"/>
          <w:emboss/>
          <w:color w:val="C0C0C0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6"/>
        <w:gridCol w:w="2977"/>
        <w:gridCol w:w="4253"/>
      </w:tblGrid>
      <w:tr w:rsidR="00A9463E" w:rsidRPr="00A875C0" w:rsidTr="00C6124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875C0" w:rsidRDefault="00A9463E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875C0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A875C0" w:rsidTr="007A1D2A">
        <w:tc>
          <w:tcPr>
            <w:tcW w:w="1786" w:type="dxa"/>
            <w:tcBorders>
              <w:top w:val="nil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7A1D2A" w:rsidRDefault="00A9463E" w:rsidP="00A801D5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פרק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בעלון</w:t>
            </w: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טקסט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טקסט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חדש</w:t>
            </w:r>
          </w:p>
        </w:tc>
      </w:tr>
      <w:tr w:rsidR="007A1D2A" w:rsidRPr="00A875C0" w:rsidTr="007A1D2A">
        <w:trPr>
          <w:trHeight w:val="579"/>
        </w:trPr>
        <w:tc>
          <w:tcPr>
            <w:tcW w:w="1786" w:type="dxa"/>
            <w:vMerge w:val="restart"/>
          </w:tcPr>
          <w:p w:rsidR="007A1D2A" w:rsidRPr="00EE1D0D" w:rsidRDefault="007A1D2A" w:rsidP="00EE1D0D">
            <w:pPr>
              <w:keepNext/>
              <w:numPr>
                <w:ilvl w:val="1"/>
                <w:numId w:val="11"/>
              </w:numPr>
              <w:tabs>
                <w:tab w:val="clear" w:pos="570"/>
                <w:tab w:val="left" w:pos="567"/>
              </w:tabs>
              <w:bidi w:val="0"/>
              <w:outlineLvl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D0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Undesirable effects</w:t>
            </w:r>
          </w:p>
        </w:tc>
        <w:tc>
          <w:tcPr>
            <w:tcW w:w="2977" w:type="dxa"/>
          </w:tcPr>
          <w:p w:rsidR="007A1D2A" w:rsidRPr="00EE1D0D" w:rsidRDefault="007A1D2A" w:rsidP="0091621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A1D2A" w:rsidRDefault="007A1D2A" w:rsidP="00F03688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6681">
              <w:rPr>
                <w:rFonts w:asciiTheme="minorHAnsi" w:eastAsia="MS Mincho" w:hAnsiTheme="minorHAnsi" w:cstheme="minorHAnsi"/>
                <w:bCs/>
                <w:noProof/>
                <w:sz w:val="20"/>
                <w:szCs w:val="20"/>
                <w:highlight w:val="yellow"/>
              </w:rPr>
              <w:t>Rare</w:t>
            </w:r>
            <w:r w:rsidRPr="00EE1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A1D2A" w:rsidRPr="00EE1D0D" w:rsidRDefault="007A1D2A" w:rsidP="00916211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EE1D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Anaphylactic reaction</w:t>
            </w:r>
            <w:r w:rsidRPr="00EE1D0D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7A1D2A" w:rsidRPr="00A875C0" w:rsidTr="007A1D2A">
        <w:trPr>
          <w:trHeight w:val="558"/>
        </w:trPr>
        <w:tc>
          <w:tcPr>
            <w:tcW w:w="1786" w:type="dxa"/>
            <w:vMerge/>
          </w:tcPr>
          <w:p w:rsidR="007A1D2A" w:rsidRPr="00EE1D0D" w:rsidRDefault="007A1D2A" w:rsidP="00F03688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D2A" w:rsidRPr="00EE1D0D" w:rsidRDefault="007A1D2A" w:rsidP="0091621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A1D2A" w:rsidRDefault="007A1D2A" w:rsidP="00EE1D0D">
            <w:pPr>
              <w:bidi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681">
              <w:rPr>
                <w:rFonts w:asciiTheme="minorHAnsi" w:eastAsia="MS Mincho" w:hAnsiTheme="minorHAnsi" w:cstheme="minorHAnsi"/>
                <w:bCs/>
                <w:noProof/>
                <w:sz w:val="20"/>
                <w:szCs w:val="20"/>
                <w:highlight w:val="yellow"/>
              </w:rPr>
              <w:t>Rare</w:t>
            </w:r>
            <w:r w:rsidRPr="00F666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1D2A" w:rsidRPr="00EE1D0D" w:rsidRDefault="007A1D2A" w:rsidP="00916211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EE1D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Atypical femoral fractures</w:t>
            </w:r>
            <w:r w:rsidRPr="00EE1D0D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7A1D2A" w:rsidRPr="00A875C0" w:rsidTr="007A1D2A">
        <w:trPr>
          <w:trHeight w:val="558"/>
        </w:trPr>
        <w:tc>
          <w:tcPr>
            <w:tcW w:w="1786" w:type="dxa"/>
            <w:vMerge/>
          </w:tcPr>
          <w:p w:rsidR="007A1D2A" w:rsidRPr="00EE1D0D" w:rsidRDefault="007A1D2A" w:rsidP="00F03688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D2A" w:rsidRDefault="007A1D2A" w:rsidP="0091621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A1D2A" w:rsidRPr="007A1D2A" w:rsidRDefault="007A1D2A" w:rsidP="007A1D2A">
            <w:pPr>
              <w:bidi w:val="0"/>
              <w:spacing w:before="100" w:beforeAutospacing="1" w:after="7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A1D2A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Atypical fractures of the femur</w:t>
            </w:r>
          </w:p>
          <w:p w:rsidR="007A1D2A" w:rsidRPr="007A1D2A" w:rsidRDefault="007A1D2A" w:rsidP="007A1D2A">
            <w:pPr>
              <w:bidi w:val="0"/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7A1D2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In the osteoporosis clinical trial program, atypical femoral fractures were reported rarely in patients treated with </w:t>
            </w:r>
            <w:proofErr w:type="spellStart"/>
            <w:r w:rsidRPr="007A1D2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Prolia</w:t>
            </w:r>
            <w:proofErr w:type="spellEnd"/>
            <w:r w:rsidRPr="007A1D2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(see section 4.4).</w:t>
            </w:r>
          </w:p>
        </w:tc>
      </w:tr>
      <w:tr w:rsidR="007A1D2A" w:rsidRPr="00A875C0" w:rsidTr="007A1D2A">
        <w:trPr>
          <w:trHeight w:val="558"/>
        </w:trPr>
        <w:tc>
          <w:tcPr>
            <w:tcW w:w="1786" w:type="dxa"/>
            <w:vMerge/>
          </w:tcPr>
          <w:p w:rsidR="007A1D2A" w:rsidRPr="00EE1D0D" w:rsidRDefault="007A1D2A" w:rsidP="00F03688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D2A" w:rsidRPr="007A1D2A" w:rsidRDefault="007A1D2A" w:rsidP="007A1D2A">
            <w:pPr>
              <w:bidi w:val="0"/>
              <w:rPr>
                <w:rFonts w:asciiTheme="minorHAnsi" w:hAnsiTheme="minorHAnsi" w:cstheme="minorHAnsi"/>
                <w:iCs/>
                <w:noProof/>
                <w:sz w:val="20"/>
                <w:u w:val="single"/>
              </w:rPr>
            </w:pPr>
            <w:r w:rsidRPr="007A1D2A">
              <w:rPr>
                <w:rFonts w:asciiTheme="minorHAnsi" w:hAnsiTheme="minorHAnsi" w:cstheme="minorHAnsi"/>
                <w:iCs/>
                <w:noProof/>
                <w:sz w:val="20"/>
                <w:u w:val="single"/>
              </w:rPr>
              <w:t xml:space="preserve">Drug-related hypersenstivity reactions </w:t>
            </w:r>
          </w:p>
          <w:p w:rsidR="007A1D2A" w:rsidRPr="007A1D2A" w:rsidRDefault="007A1D2A" w:rsidP="007A1D2A">
            <w:pPr>
              <w:bidi w:val="0"/>
              <w:rPr>
                <w:rFonts w:asciiTheme="minorHAnsi" w:hAnsiTheme="minorHAnsi" w:cstheme="minorHAnsi"/>
                <w:iCs/>
                <w:noProof/>
                <w:sz w:val="20"/>
              </w:rPr>
            </w:pPr>
            <w:r w:rsidRPr="007A1D2A">
              <w:rPr>
                <w:rFonts w:asciiTheme="minorHAnsi" w:hAnsiTheme="minorHAnsi" w:cstheme="minorHAnsi"/>
                <w:iCs/>
                <w:noProof/>
                <w:sz w:val="20"/>
              </w:rPr>
              <w:t>In the post-marketing setting, rare events of drug-related hypersensitivity, including rash, urticaria, facial swelling and erythema have been reported in patients receiving Prolia</w:t>
            </w:r>
            <w:r w:rsidRPr="007A1D2A">
              <w:rPr>
                <w:rFonts w:asciiTheme="minorHAnsi" w:hAnsiTheme="minorHAnsi" w:cstheme="minorHAnsi"/>
                <w:iCs/>
                <w:noProof/>
                <w:sz w:val="20"/>
                <w:vertAlign w:val="superscript"/>
              </w:rPr>
              <w:t>TM</w:t>
            </w:r>
            <w:r w:rsidRPr="007A1D2A">
              <w:rPr>
                <w:rFonts w:asciiTheme="minorHAnsi" w:hAnsiTheme="minorHAnsi" w:cstheme="minorHAnsi"/>
                <w:iCs/>
                <w:noProof/>
                <w:sz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A1D2A" w:rsidRPr="007A1D2A" w:rsidRDefault="007A1D2A" w:rsidP="007A1D2A">
            <w:pPr>
              <w:bidi w:val="0"/>
              <w:rPr>
                <w:rFonts w:asciiTheme="minorHAnsi" w:hAnsiTheme="minorHAnsi" w:cstheme="minorHAnsi"/>
                <w:iCs/>
                <w:noProof/>
                <w:sz w:val="20"/>
                <w:szCs w:val="20"/>
                <w:u w:val="single"/>
              </w:rPr>
            </w:pPr>
            <w:r w:rsidRPr="008A3961">
              <w:rPr>
                <w:iCs/>
                <w:noProof/>
                <w:szCs w:val="22"/>
                <w:u w:val="single"/>
              </w:rPr>
              <w:t xml:space="preserve">Drug-related hypersenstivity reactions </w:t>
            </w:r>
          </w:p>
          <w:p w:rsidR="007A1D2A" w:rsidRPr="007A1D2A" w:rsidRDefault="007A1D2A" w:rsidP="007A1D2A">
            <w:pPr>
              <w:bidi w:val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7A1D2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In the post-marketing setting, rare events of drug-related hypersensitivity, including rash, urticaria, facial swelling, erythema</w:t>
            </w:r>
            <w:r w:rsidRPr="007A1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1D2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and anaphylactic reactions</w:t>
            </w:r>
            <w:r w:rsidRPr="007A1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1D2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have been reported in patients receiving Prolia. </w:t>
            </w:r>
          </w:p>
        </w:tc>
      </w:tr>
    </w:tbl>
    <w:p w:rsidR="00F82F1A" w:rsidRDefault="00F82F1A" w:rsidP="00F82F1A">
      <w:pPr>
        <w:ind w:left="-143" w:right="-142"/>
        <w:rPr>
          <w:b/>
          <w:bCs/>
          <w:sz w:val="22"/>
          <w:szCs w:val="22"/>
          <w:rtl/>
        </w:rPr>
      </w:pPr>
    </w:p>
    <w:p w:rsidR="00C02735" w:rsidRPr="00DD036A" w:rsidRDefault="00C02735" w:rsidP="00C02735">
      <w:pPr>
        <w:ind w:left="-143" w:right="-142"/>
        <w:rPr>
          <w:b/>
          <w:bCs/>
          <w:sz w:val="22"/>
          <w:szCs w:val="22"/>
          <w:rtl/>
        </w:rPr>
      </w:pPr>
      <w:r w:rsidRPr="00DD036A">
        <w:rPr>
          <w:rFonts w:hint="cs"/>
          <w:b/>
          <w:bCs/>
          <w:sz w:val="22"/>
          <w:szCs w:val="22"/>
          <w:rtl/>
        </w:rPr>
        <w:t xml:space="preserve">מצ"ב </w:t>
      </w:r>
      <w:r w:rsidR="00F82F1A" w:rsidRPr="00DD036A">
        <w:rPr>
          <w:b/>
          <w:bCs/>
          <w:sz w:val="22"/>
          <w:szCs w:val="22"/>
          <w:rtl/>
        </w:rPr>
        <w:t>העלון, שבו מסומנ</w:t>
      </w:r>
      <w:r w:rsidRPr="00DD036A">
        <w:rPr>
          <w:rFonts w:hint="cs"/>
          <w:b/>
          <w:bCs/>
          <w:sz w:val="22"/>
          <w:szCs w:val="22"/>
          <w:rtl/>
        </w:rPr>
        <w:t>ות</w:t>
      </w:r>
      <w:r w:rsidR="00F82F1A" w:rsidRPr="00DD036A">
        <w:rPr>
          <w:b/>
          <w:bCs/>
          <w:sz w:val="22"/>
          <w:szCs w:val="22"/>
          <w:rtl/>
        </w:rPr>
        <w:t xml:space="preserve"> </w:t>
      </w:r>
      <w:r w:rsidRPr="00DD036A">
        <w:rPr>
          <w:rFonts w:hint="cs"/>
          <w:b/>
          <w:bCs/>
          <w:sz w:val="22"/>
          <w:szCs w:val="22"/>
          <w:rtl/>
        </w:rPr>
        <w:t xml:space="preserve">ההחמרות </w:t>
      </w:r>
      <w:r w:rsidR="00F82F1A" w:rsidRPr="00DD036A">
        <w:rPr>
          <w:b/>
          <w:bCs/>
          <w:sz w:val="22"/>
          <w:szCs w:val="22"/>
          <w:rtl/>
        </w:rPr>
        <w:t>המבוקש</w:t>
      </w:r>
      <w:r w:rsidRPr="00DD036A">
        <w:rPr>
          <w:rFonts w:hint="cs"/>
          <w:b/>
          <w:bCs/>
          <w:sz w:val="22"/>
          <w:szCs w:val="22"/>
          <w:rtl/>
        </w:rPr>
        <w:t xml:space="preserve">ות  </w:t>
      </w:r>
      <w:r w:rsidRPr="00DD036A">
        <w:rPr>
          <w:rFonts w:hint="cs"/>
          <w:b/>
          <w:bCs/>
          <w:sz w:val="22"/>
          <w:szCs w:val="22"/>
          <w:highlight w:val="yellow"/>
          <w:rtl/>
        </w:rPr>
        <w:t>על רקע צהוב</w:t>
      </w:r>
      <w:r w:rsidRPr="00DD036A">
        <w:rPr>
          <w:rFonts w:hint="cs"/>
          <w:b/>
          <w:bCs/>
          <w:sz w:val="22"/>
          <w:szCs w:val="22"/>
          <w:rtl/>
        </w:rPr>
        <w:t>.</w:t>
      </w:r>
    </w:p>
    <w:p w:rsidR="00990E51" w:rsidRPr="00DD036A" w:rsidRDefault="00B5004E" w:rsidP="003F60BA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  <w:r w:rsidRPr="003F60BA">
        <w:rPr>
          <w:rFonts w:hint="cs"/>
          <w:sz w:val="22"/>
          <w:szCs w:val="22"/>
          <w:rtl/>
        </w:rPr>
        <w:t xml:space="preserve">שינויים שאינם בגדר החמרות סומנו </w:t>
      </w:r>
      <w:r w:rsidRPr="003F60BA">
        <w:rPr>
          <w:rFonts w:hint="cs"/>
          <w:sz w:val="22"/>
          <w:szCs w:val="22"/>
          <w:u w:val="single"/>
          <w:rtl/>
        </w:rPr>
        <w:t>(בעלון)</w:t>
      </w:r>
      <w:r w:rsidR="00990E51" w:rsidRPr="003F60BA">
        <w:rPr>
          <w:rFonts w:hint="cs"/>
          <w:sz w:val="22"/>
          <w:szCs w:val="22"/>
          <w:rtl/>
        </w:rPr>
        <w:t xml:space="preserve"> בצבע </w:t>
      </w:r>
      <w:r w:rsidR="003F60BA" w:rsidRPr="003F60BA">
        <w:rPr>
          <w:rFonts w:hint="cs"/>
          <w:color w:val="00B050"/>
          <w:sz w:val="22"/>
          <w:szCs w:val="22"/>
          <w:rtl/>
        </w:rPr>
        <w:t>ירוק</w:t>
      </w:r>
      <w:r w:rsidR="00990E51" w:rsidRPr="003F60BA">
        <w:rPr>
          <w:rFonts w:hint="cs"/>
          <w:sz w:val="22"/>
          <w:szCs w:val="22"/>
          <w:rtl/>
        </w:rPr>
        <w:t xml:space="preserve">. </w:t>
      </w:r>
    </w:p>
    <w:p w:rsidR="00B5004E" w:rsidRPr="00DD036A" w:rsidRDefault="00B5004E" w:rsidP="00B5004E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</w:p>
    <w:p w:rsidR="00C02735" w:rsidRPr="00DD036A" w:rsidRDefault="00916211" w:rsidP="00C02735">
      <w:pPr>
        <w:ind w:left="-143" w:right="-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</w:t>
      </w:r>
    </w:p>
    <w:sectPr w:rsidR="00C02735" w:rsidRPr="00DD036A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1DF"/>
    <w:multiLevelType w:val="hybridMultilevel"/>
    <w:tmpl w:val="8FA2E72E"/>
    <w:lvl w:ilvl="0" w:tplc="323ED526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A2D5D"/>
    <w:multiLevelType w:val="hybridMultilevel"/>
    <w:tmpl w:val="26F00F6E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05F21"/>
    <w:multiLevelType w:val="hybridMultilevel"/>
    <w:tmpl w:val="A4E68C1E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242B7"/>
    <w:multiLevelType w:val="hybridMultilevel"/>
    <w:tmpl w:val="69102C04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46183"/>
    <w:multiLevelType w:val="hybridMultilevel"/>
    <w:tmpl w:val="6568DF1E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73E4CF8"/>
    <w:multiLevelType w:val="hybridMultilevel"/>
    <w:tmpl w:val="2BA0F05E"/>
    <w:lvl w:ilvl="0" w:tplc="534E47D6">
      <w:start w:val="1"/>
      <w:numFmt w:val="bullet"/>
      <w:lvlText w:val="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7A3D37F3"/>
    <w:multiLevelType w:val="hybridMultilevel"/>
    <w:tmpl w:val="23CCAF50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30835"/>
    <w:multiLevelType w:val="hybridMultilevel"/>
    <w:tmpl w:val="F410B6AA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20027064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Davi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112F2C"/>
    <w:rsid w:val="001543B4"/>
    <w:rsid w:val="001658AE"/>
    <w:rsid w:val="001F7182"/>
    <w:rsid w:val="00236AB9"/>
    <w:rsid w:val="00260355"/>
    <w:rsid w:val="002F3ABE"/>
    <w:rsid w:val="00300616"/>
    <w:rsid w:val="00352380"/>
    <w:rsid w:val="00357B4F"/>
    <w:rsid w:val="0036025C"/>
    <w:rsid w:val="00380A93"/>
    <w:rsid w:val="00383654"/>
    <w:rsid w:val="003C1B4C"/>
    <w:rsid w:val="003F60BA"/>
    <w:rsid w:val="00401E0B"/>
    <w:rsid w:val="00410789"/>
    <w:rsid w:val="004930CB"/>
    <w:rsid w:val="00493D03"/>
    <w:rsid w:val="004E3DBF"/>
    <w:rsid w:val="00553975"/>
    <w:rsid w:val="005D6B6C"/>
    <w:rsid w:val="00651378"/>
    <w:rsid w:val="00687E7A"/>
    <w:rsid w:val="006E29B2"/>
    <w:rsid w:val="00717E56"/>
    <w:rsid w:val="00732AAC"/>
    <w:rsid w:val="007345B5"/>
    <w:rsid w:val="007762BB"/>
    <w:rsid w:val="007A1D2A"/>
    <w:rsid w:val="007B3181"/>
    <w:rsid w:val="007F1DF9"/>
    <w:rsid w:val="008102AD"/>
    <w:rsid w:val="00812962"/>
    <w:rsid w:val="00847093"/>
    <w:rsid w:val="00862524"/>
    <w:rsid w:val="00865D86"/>
    <w:rsid w:val="00873AEB"/>
    <w:rsid w:val="008C34BA"/>
    <w:rsid w:val="00916211"/>
    <w:rsid w:val="00916F42"/>
    <w:rsid w:val="009520DF"/>
    <w:rsid w:val="00955F40"/>
    <w:rsid w:val="00964A41"/>
    <w:rsid w:val="00973F87"/>
    <w:rsid w:val="00990E51"/>
    <w:rsid w:val="009C4FA9"/>
    <w:rsid w:val="009D7361"/>
    <w:rsid w:val="00A147BC"/>
    <w:rsid w:val="00A21804"/>
    <w:rsid w:val="00A46AAB"/>
    <w:rsid w:val="00A801D5"/>
    <w:rsid w:val="00A86F0C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D5E84"/>
    <w:rsid w:val="00C02735"/>
    <w:rsid w:val="00C056C9"/>
    <w:rsid w:val="00C125CF"/>
    <w:rsid w:val="00C6124B"/>
    <w:rsid w:val="00C702AA"/>
    <w:rsid w:val="00CA59B7"/>
    <w:rsid w:val="00CC2F2F"/>
    <w:rsid w:val="00CE2209"/>
    <w:rsid w:val="00CE58E7"/>
    <w:rsid w:val="00D613B5"/>
    <w:rsid w:val="00DA1744"/>
    <w:rsid w:val="00DD036A"/>
    <w:rsid w:val="00E04CAE"/>
    <w:rsid w:val="00E13D2C"/>
    <w:rsid w:val="00E41CF3"/>
    <w:rsid w:val="00EA6E38"/>
    <w:rsid w:val="00EB1F52"/>
    <w:rsid w:val="00EE1D0D"/>
    <w:rsid w:val="00EE3F64"/>
    <w:rsid w:val="00EF09EC"/>
    <w:rsid w:val="00F03688"/>
    <w:rsid w:val="00F043DF"/>
    <w:rsid w:val="00F66681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165115216</AutoNumber>
    <REQUESTNUMBER xmlns="43f5c83f-d7ad-4276-a107-8019a824ecd5">92820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103509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לאינטרנט</UCOMMENTS>
    <OWNER xmlns="43f5c83f-d7ad-4276-a107-8019a824ecd5">636</OWNER>
    <ISPUBLIC xmlns="43f5c83f-d7ad-4276-a107-8019a824ecd5">1</ISPUBLIC>
    <SDHebDate xmlns="43f5c83f-d7ad-4276-a107-8019a824ecd5">ב' באלול, התשע"ג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291</SAPNAME>
    <SDDocumentSource xmlns="43f5c83f-d7ad-4276-a107-8019a824ecd5" xsi:nil="true"/>
    <SDImportance xmlns="43f5c83f-d7ad-4276-a107-8019a824ecd5" xsi:nil="true"/>
    <REGISTRATIONNUMBER xmlns="43f5c83f-d7ad-4276-a107-8019a824ecd5">3325300</REGISTRATIONNUMBER>
    <SDCategories xmlns="43f5c83f-d7ad-4276-a107-8019a824ecd5" xsi:nil="true"/>
    <SDDocDate xmlns="43f5c83f-d7ad-4276-a107-8019a824ecd5">2013-08-08T05:00:01+00:00</SDDocDate>
    <DRAGOBJID xmlns="43f5c83f-d7ad-4276-a107-8019a824ecd5">3325300</DRAGOBJID>
    <mossuploaddate xmlns="43f5c83f-d7ad-4276-a107-8019a824ecd5">2013-08-08 17:54:29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64825-1467-4263-9EF3-94F755E3E928}"/>
</file>

<file path=customXml/itemProps2.xml><?xml version="1.0" encoding="utf-8"?>
<ds:datastoreItem xmlns:ds="http://schemas.openxmlformats.org/officeDocument/2006/customXml" ds:itemID="{B6CEEC8B-7210-4648-9751-2E8FA9A55DD8}"/>
</file>

<file path=customXml/itemProps3.xml><?xml version="1.0" encoding="utf-8"?>
<ds:datastoreItem xmlns:ds="http://schemas.openxmlformats.org/officeDocument/2006/customXml" ds:itemID="{BEA3984C-0C53-4729-9EC4-78FB767D48B6}"/>
</file>

<file path=customXml/itemProps4.xml><?xml version="1.0" encoding="utf-8"?>
<ds:datastoreItem xmlns:ds="http://schemas.openxmlformats.org/officeDocument/2006/customXml" ds:itemID="{7DCABE3F-B5E9-4281-8CAC-C03F945F5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Prolia60mg_Worsening_form_08_2013</dc:title>
  <dc:creator>hy47755</dc:creator>
  <cp:lastModifiedBy>aar19880</cp:lastModifiedBy>
  <cp:revision>8</cp:revision>
  <cp:lastPrinted>2013-08-06T06:47:00Z</cp:lastPrinted>
  <dcterms:created xsi:type="dcterms:W3CDTF">2013-06-13T12:51:00Z</dcterms:created>
  <dcterms:modified xsi:type="dcterms:W3CDTF">2013-08-06T07:14:00Z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