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41" w:rsidRDefault="00175E41" w:rsidP="00175E41">
      <w:pPr>
        <w:ind w:left="-143" w:right="-142"/>
        <w:rPr>
          <w:rFonts w:hint="cs"/>
          <w:b/>
          <w:bCs/>
          <w:rtl/>
        </w:rPr>
      </w:pPr>
    </w:p>
    <w:p w:rsidR="00181C64" w:rsidRDefault="00181C64" w:rsidP="00181C64">
      <w:pPr>
        <w:rPr>
          <w:rFonts w:cs="David Transparent"/>
          <w:b/>
          <w:bCs/>
          <w:sz w:val="28"/>
          <w:szCs w:val="28"/>
          <w:rtl/>
        </w:rPr>
      </w:pPr>
      <w:r w:rsidRPr="00AE3094">
        <w:rPr>
          <w:rFonts w:ascii="Times New Roman" w:eastAsia="Times New Roman" w:hAnsi="Times New Roman" w:cs="David Transparent" w:hint="cs"/>
          <w:b/>
          <w:bCs/>
          <w:color w:val="C0C0C0"/>
          <w:sz w:val="20"/>
          <w:szCs w:val="36"/>
          <w:shd w:val="clear" w:color="auto" w:fill="000000"/>
          <w:rtl/>
        </w:rPr>
        <w:t xml:space="preserve">הודעה על </w:t>
      </w:r>
      <w:r w:rsidRPr="00AE3094">
        <w:rPr>
          <w:rFonts w:ascii="Times New Roman" w:eastAsia="Times New Roman" w:hAnsi="Times New Roman" w:cs="David Transparent"/>
          <w:b/>
          <w:bCs/>
          <w:color w:val="C0C0C0"/>
          <w:sz w:val="20"/>
          <w:szCs w:val="36"/>
          <w:shd w:val="clear" w:color="auto" w:fill="000000"/>
          <w:rtl/>
        </w:rPr>
        <w:t>החמרה  (</w:t>
      </w:r>
      <w:r w:rsidRPr="00AE3094">
        <w:rPr>
          <w:rFonts w:ascii="Times New Roman" w:eastAsia="Times New Roman" w:hAnsi="Times New Roman" w:cs="David Transparent" w:hint="cs"/>
          <w:b/>
          <w:bCs/>
          <w:color w:val="C0C0C0"/>
          <w:sz w:val="20"/>
          <w:szCs w:val="36"/>
          <w:shd w:val="clear" w:color="auto" w:fill="000000"/>
          <w:rtl/>
        </w:rPr>
        <w:t xml:space="preserve"> מידע </w:t>
      </w:r>
      <w:r w:rsidRPr="00AE3094">
        <w:rPr>
          <w:rFonts w:ascii="Times New Roman" w:eastAsia="Times New Roman" w:hAnsi="Times New Roman" w:cs="David Transparent"/>
          <w:b/>
          <w:bCs/>
          <w:color w:val="C0C0C0"/>
          <w:sz w:val="20"/>
          <w:szCs w:val="36"/>
          <w:shd w:val="clear" w:color="auto" w:fill="000000"/>
          <w:rtl/>
        </w:rPr>
        <w:t>בטיחות)  בעלון ל</w:t>
      </w:r>
      <w:r w:rsidRPr="00AE3094">
        <w:rPr>
          <w:rFonts w:ascii="Times New Roman" w:eastAsia="Times New Roman" w:hAnsi="Times New Roman" w:cs="David Transparent" w:hint="cs"/>
          <w:b/>
          <w:bCs/>
          <w:color w:val="C0C0C0"/>
          <w:sz w:val="20"/>
          <w:szCs w:val="36"/>
          <w:shd w:val="clear" w:color="auto" w:fill="000000"/>
          <w:rtl/>
        </w:rPr>
        <w:t>רופא</w:t>
      </w:r>
    </w:p>
    <w:p w:rsidR="00181C64" w:rsidRPr="0097515F" w:rsidRDefault="00181C64" w:rsidP="001913FF">
      <w:pPr>
        <w:spacing w:after="0" w:line="240" w:lineRule="auto"/>
        <w:rPr>
          <w:rFonts w:asciiTheme="minorBidi" w:hAnsiTheme="minorBidi" w:cstheme="minorBidi"/>
          <w:b/>
          <w:bCs/>
          <w:sz w:val="24"/>
          <w:szCs w:val="24"/>
          <w:rtl/>
        </w:rPr>
      </w:pPr>
      <w:r w:rsidRPr="0097515F">
        <w:rPr>
          <w:rFonts w:asciiTheme="minorBidi" w:hAnsiTheme="minorBidi" w:cstheme="minorBidi"/>
          <w:b/>
          <w:bCs/>
          <w:sz w:val="24"/>
          <w:szCs w:val="24"/>
          <w:rtl/>
        </w:rPr>
        <w:t xml:space="preserve">תאריך: </w:t>
      </w:r>
      <w:r w:rsidR="00146BD8" w:rsidRPr="0097515F">
        <w:rPr>
          <w:rFonts w:asciiTheme="minorBidi" w:hAnsiTheme="minorBidi" w:cstheme="minorBidi"/>
          <w:b/>
          <w:bCs/>
          <w:sz w:val="24"/>
          <w:szCs w:val="24"/>
        </w:rPr>
        <w:t>2</w:t>
      </w:r>
      <w:r w:rsidR="001913FF">
        <w:rPr>
          <w:rFonts w:asciiTheme="minorBidi" w:hAnsiTheme="minorBidi" w:cstheme="minorBidi"/>
          <w:b/>
          <w:bCs/>
          <w:sz w:val="24"/>
          <w:szCs w:val="24"/>
        </w:rPr>
        <w:t>5</w:t>
      </w:r>
      <w:r w:rsidR="00792D39" w:rsidRPr="0097515F">
        <w:rPr>
          <w:rFonts w:asciiTheme="minorBidi" w:hAnsiTheme="minorBidi" w:cstheme="minorBidi"/>
          <w:b/>
          <w:bCs/>
          <w:sz w:val="24"/>
          <w:szCs w:val="24"/>
        </w:rPr>
        <w:t>.4.2013</w:t>
      </w:r>
    </w:p>
    <w:p w:rsidR="0097515F" w:rsidRPr="0097515F" w:rsidRDefault="00181C64" w:rsidP="0097515F">
      <w:pPr>
        <w:rPr>
          <w:rFonts w:asciiTheme="minorBidi" w:hAnsiTheme="minorBidi" w:cstheme="minorBidi"/>
          <w:sz w:val="24"/>
          <w:szCs w:val="24"/>
          <w:rtl/>
        </w:rPr>
      </w:pPr>
      <w:r w:rsidRPr="0097515F">
        <w:rPr>
          <w:rFonts w:asciiTheme="minorBidi" w:hAnsiTheme="minorBidi" w:cstheme="minorBidi"/>
          <w:b/>
          <w:bCs/>
          <w:sz w:val="24"/>
          <w:szCs w:val="24"/>
          <w:rtl/>
        </w:rPr>
        <w:t xml:space="preserve">שם תכשיר באנגלית ומספר הרישום </w:t>
      </w:r>
      <w:proofErr w:type="spellStart"/>
      <w:r w:rsidR="00146BD8" w:rsidRPr="0097515F">
        <w:rPr>
          <w:rFonts w:asciiTheme="minorBidi" w:hAnsiTheme="minorBidi" w:cstheme="minorBidi"/>
          <w:b/>
          <w:bCs/>
          <w:sz w:val="24"/>
          <w:szCs w:val="24"/>
        </w:rPr>
        <w:t>Controloc</w:t>
      </w:r>
      <w:proofErr w:type="spellEnd"/>
      <w:r w:rsidR="00146BD8" w:rsidRPr="0097515F">
        <w:rPr>
          <w:rFonts w:asciiTheme="minorBidi" w:hAnsiTheme="minorBidi" w:cstheme="minorBidi"/>
          <w:b/>
          <w:bCs/>
          <w:sz w:val="24"/>
          <w:szCs w:val="24"/>
        </w:rPr>
        <w:t xml:space="preserve"> I.V  Reg. No. 129-41-30772-00</w:t>
      </w:r>
    </w:p>
    <w:p w:rsidR="00181C64" w:rsidRPr="0097515F" w:rsidRDefault="00181C64" w:rsidP="0097515F">
      <w:pPr>
        <w:spacing w:line="240" w:lineRule="auto"/>
        <w:rPr>
          <w:rFonts w:asciiTheme="minorBidi" w:hAnsiTheme="minorBidi" w:cstheme="minorBidi"/>
          <w:sz w:val="24"/>
          <w:szCs w:val="24"/>
          <w:rtl/>
        </w:rPr>
      </w:pPr>
      <w:r w:rsidRPr="0097515F">
        <w:rPr>
          <w:rFonts w:asciiTheme="minorBidi" w:hAnsiTheme="minorBidi" w:cstheme="minorBidi"/>
          <w:b/>
          <w:bCs/>
          <w:sz w:val="24"/>
          <w:szCs w:val="24"/>
          <w:rtl/>
        </w:rPr>
        <w:t>שם בעל הרישום : פריגו ישראל סוכנויות בע"מ</w:t>
      </w:r>
    </w:p>
    <w:p w:rsidR="00181C64" w:rsidRPr="008A137F" w:rsidRDefault="00181C64" w:rsidP="00181C64">
      <w:pPr>
        <w:spacing w:line="240" w:lineRule="auto"/>
        <w:rPr>
          <w:rFonts w:cs="David Transparent"/>
          <w:b/>
          <w:bCs/>
          <w:sz w:val="26"/>
          <w:szCs w:val="26"/>
          <w:rtl/>
        </w:rPr>
      </w:pPr>
    </w:p>
    <w:p w:rsidR="00181C64" w:rsidRDefault="00181C64" w:rsidP="00181C64">
      <w:pPr>
        <w:jc w:val="center"/>
        <w:rPr>
          <w:rFonts w:cs="David Transparent"/>
          <w:color w:val="FF0000"/>
          <w:szCs w:val="28"/>
          <w:rtl/>
        </w:rPr>
      </w:pPr>
      <w:r>
        <w:rPr>
          <w:rFonts w:cs="David Transparent" w:hint="cs"/>
          <w:color w:val="FF0000"/>
          <w:szCs w:val="28"/>
          <w:rtl/>
        </w:rPr>
        <w:t>טופס זה מיועד לפרוט ה</w:t>
      </w:r>
      <w:r w:rsidRPr="00222562">
        <w:rPr>
          <w:rFonts w:cs="David Transparent" w:hint="cs"/>
          <w:color w:val="FF0000"/>
          <w:szCs w:val="28"/>
          <w:rtl/>
        </w:rPr>
        <w:t>החמרות בלבד</w:t>
      </w:r>
      <w:r>
        <w:rPr>
          <w:rFonts w:cs="David Transparent" w:hint="cs"/>
          <w:color w:val="FF0000"/>
          <w:szCs w:val="28"/>
          <w:rtl/>
        </w:rPr>
        <w:t xml:space="preserve"> !</w:t>
      </w:r>
    </w:p>
    <w:tbl>
      <w:tblPr>
        <w:bidiVisual/>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4"/>
        <w:gridCol w:w="4253"/>
        <w:gridCol w:w="3970"/>
      </w:tblGrid>
      <w:tr w:rsidR="00181C64" w:rsidRPr="00A875C0" w:rsidTr="007457DA">
        <w:trPr>
          <w:cantSplit/>
        </w:trPr>
        <w:tc>
          <w:tcPr>
            <w:tcW w:w="9407" w:type="dxa"/>
            <w:gridSpan w:val="3"/>
            <w:tcBorders>
              <w:bottom w:val="single" w:sz="24" w:space="0" w:color="auto"/>
              <w:right w:val="single" w:sz="4" w:space="0" w:color="auto"/>
            </w:tcBorders>
            <w:shd w:val="pct12" w:color="auto" w:fill="FFFFFF"/>
          </w:tcPr>
          <w:p w:rsidR="00181C64" w:rsidRPr="00D03A41" w:rsidRDefault="00181C64" w:rsidP="00A53CB7">
            <w:pPr>
              <w:jc w:val="center"/>
              <w:rPr>
                <w:rFonts w:cs="David Transparent"/>
                <w:b/>
                <w:bCs/>
                <w:sz w:val="28"/>
                <w:szCs w:val="28"/>
                <w:rtl/>
              </w:rPr>
            </w:pPr>
            <w:r w:rsidRPr="00D03A41">
              <w:rPr>
                <w:rFonts w:cs="David Transparent" w:hint="cs"/>
                <w:b/>
                <w:bCs/>
                <w:sz w:val="28"/>
                <w:szCs w:val="28"/>
                <w:rtl/>
              </w:rPr>
              <w:t>ההחמרות המבוקשות</w:t>
            </w:r>
          </w:p>
        </w:tc>
      </w:tr>
      <w:tr w:rsidR="00181C64" w:rsidRPr="00A875C0" w:rsidTr="007457DA">
        <w:tc>
          <w:tcPr>
            <w:tcW w:w="1184" w:type="dxa"/>
            <w:tcBorders>
              <w:top w:val="nil"/>
            </w:tcBorders>
          </w:tcPr>
          <w:p w:rsidR="00181C64" w:rsidRPr="00A875C0" w:rsidRDefault="00181C64" w:rsidP="00A53CB7">
            <w:pPr>
              <w:jc w:val="center"/>
              <w:rPr>
                <w:b/>
                <w:bCs/>
                <w:rtl/>
              </w:rPr>
            </w:pPr>
            <w:r w:rsidRPr="00A875C0">
              <w:rPr>
                <w:b/>
                <w:bCs/>
                <w:rtl/>
              </w:rPr>
              <w:t>פרק בעלון</w:t>
            </w:r>
          </w:p>
        </w:tc>
        <w:tc>
          <w:tcPr>
            <w:tcW w:w="4253" w:type="dxa"/>
            <w:tcBorders>
              <w:top w:val="nil"/>
            </w:tcBorders>
          </w:tcPr>
          <w:p w:rsidR="00181C64" w:rsidRPr="00A875C0" w:rsidRDefault="00181C64" w:rsidP="00A53CB7">
            <w:pPr>
              <w:jc w:val="center"/>
              <w:rPr>
                <w:b/>
                <w:bCs/>
                <w:rtl/>
              </w:rPr>
            </w:pPr>
            <w:r w:rsidRPr="00A875C0">
              <w:rPr>
                <w:b/>
                <w:bCs/>
                <w:rtl/>
              </w:rPr>
              <w:t>טקסט נוכחי</w:t>
            </w:r>
          </w:p>
        </w:tc>
        <w:tc>
          <w:tcPr>
            <w:tcW w:w="3970" w:type="dxa"/>
            <w:tcBorders>
              <w:top w:val="nil"/>
              <w:right w:val="single" w:sz="4" w:space="0" w:color="auto"/>
            </w:tcBorders>
          </w:tcPr>
          <w:p w:rsidR="00181C64" w:rsidRPr="00A875C0" w:rsidRDefault="00181C64" w:rsidP="00A53CB7">
            <w:pPr>
              <w:jc w:val="center"/>
              <w:rPr>
                <w:b/>
                <w:bCs/>
                <w:rtl/>
              </w:rPr>
            </w:pPr>
            <w:r w:rsidRPr="00A875C0">
              <w:rPr>
                <w:b/>
                <w:bCs/>
                <w:rtl/>
              </w:rPr>
              <w:t>טקסט חדש</w:t>
            </w:r>
          </w:p>
        </w:tc>
      </w:tr>
      <w:tr w:rsidR="00181C64" w:rsidRPr="00A875C0" w:rsidTr="007457DA">
        <w:trPr>
          <w:trHeight w:val="2066"/>
        </w:trPr>
        <w:tc>
          <w:tcPr>
            <w:tcW w:w="1184" w:type="dxa"/>
          </w:tcPr>
          <w:p w:rsidR="0097515F" w:rsidRPr="00B42DA6" w:rsidRDefault="0097515F" w:rsidP="00FD532B">
            <w:pPr>
              <w:bidi w:val="0"/>
              <w:rPr>
                <w:rFonts w:ascii="Times New Roman" w:hAnsi="Times New Roman"/>
                <w:b/>
                <w:bCs/>
                <w:sz w:val="24"/>
                <w:szCs w:val="24"/>
              </w:rPr>
            </w:pPr>
            <w:r w:rsidRPr="00B42DA6">
              <w:rPr>
                <w:rFonts w:ascii="Times New Roman" w:hAnsi="Times New Roman"/>
                <w:b/>
                <w:bCs/>
                <w:sz w:val="24"/>
                <w:szCs w:val="24"/>
              </w:rPr>
              <w:t xml:space="preserve">4.3 Contra-indications </w:t>
            </w:r>
          </w:p>
          <w:p w:rsidR="00181C64" w:rsidRPr="00A875C0" w:rsidRDefault="00181C64" w:rsidP="00FD532B">
            <w:pPr>
              <w:bidi w:val="0"/>
              <w:rPr>
                <w:rFonts w:ascii="Arial Narrow" w:hAnsi="Arial Narrow"/>
                <w:b/>
                <w:bCs/>
                <w:rtl/>
              </w:rPr>
            </w:pPr>
          </w:p>
        </w:tc>
        <w:tc>
          <w:tcPr>
            <w:tcW w:w="4253" w:type="dxa"/>
          </w:tcPr>
          <w:p w:rsidR="007457DA" w:rsidRDefault="007457DA" w:rsidP="007457DA">
            <w:pPr>
              <w:bidi w:val="0"/>
              <w:spacing w:before="240"/>
              <w:rPr>
                <w:rFonts w:ascii="Times New Roman" w:hAnsi="Times New Roman"/>
                <w:sz w:val="18"/>
                <w:szCs w:val="18"/>
              </w:rPr>
            </w:pPr>
            <w:proofErr w:type="spellStart"/>
            <w:r w:rsidRPr="007457DA">
              <w:rPr>
                <w:rFonts w:ascii="Times New Roman" w:hAnsi="Times New Roman"/>
                <w:sz w:val="18"/>
                <w:szCs w:val="18"/>
              </w:rPr>
              <w:t>Controloc</w:t>
            </w:r>
            <w:proofErr w:type="spellEnd"/>
            <w:r w:rsidRPr="007457DA">
              <w:rPr>
                <w:rFonts w:ascii="Times New Roman" w:hAnsi="Times New Roman"/>
                <w:sz w:val="18"/>
                <w:szCs w:val="18"/>
              </w:rPr>
              <w:t>®</w:t>
            </w:r>
            <w:r w:rsidRPr="007457DA">
              <w:rPr>
                <w:rFonts w:ascii="Times New Roman" w:hAnsi="Times New Roman"/>
                <w:b/>
                <w:bCs/>
                <w:sz w:val="18"/>
                <w:szCs w:val="18"/>
              </w:rPr>
              <w:t xml:space="preserve"> </w:t>
            </w:r>
            <w:r w:rsidRPr="007457DA">
              <w:rPr>
                <w:rFonts w:ascii="Times New Roman" w:hAnsi="Times New Roman"/>
                <w:sz w:val="18"/>
                <w:szCs w:val="18"/>
              </w:rPr>
              <w:t>I.V. should generally not be used in cases</w:t>
            </w:r>
            <w:r>
              <w:rPr>
                <w:rFonts w:ascii="Times New Roman" w:hAnsi="Times New Roman"/>
                <w:sz w:val="18"/>
                <w:szCs w:val="18"/>
              </w:rPr>
              <w:t xml:space="preserve"> </w:t>
            </w:r>
          </w:p>
          <w:p w:rsidR="00181C64" w:rsidRPr="007457DA" w:rsidRDefault="007457DA" w:rsidP="007457DA">
            <w:pPr>
              <w:bidi w:val="0"/>
              <w:spacing w:before="240"/>
              <w:rPr>
                <w:rFonts w:ascii="Times New Roman" w:hAnsi="Times New Roman"/>
                <w:sz w:val="18"/>
                <w:szCs w:val="18"/>
              </w:rPr>
            </w:pPr>
            <w:proofErr w:type="gramStart"/>
            <w:r w:rsidRPr="007457DA">
              <w:rPr>
                <w:rFonts w:ascii="Times New Roman" w:hAnsi="Times New Roman"/>
                <w:sz w:val="18"/>
                <w:szCs w:val="18"/>
              </w:rPr>
              <w:t>of</w:t>
            </w:r>
            <w:proofErr w:type="gramEnd"/>
            <w:r w:rsidRPr="007457DA">
              <w:rPr>
                <w:rFonts w:ascii="Times New Roman" w:hAnsi="Times New Roman"/>
                <w:sz w:val="18"/>
                <w:szCs w:val="18"/>
              </w:rPr>
              <w:t xml:space="preserve"> known hypersensitivity to one of its constituents</w:t>
            </w:r>
            <w:r w:rsidRPr="007457DA">
              <w:rPr>
                <w:rFonts w:ascii="Times New Roman" w:hAnsi="Times New Roman"/>
                <w:sz w:val="20"/>
                <w:szCs w:val="20"/>
              </w:rPr>
              <w:t>.</w:t>
            </w:r>
          </w:p>
        </w:tc>
        <w:tc>
          <w:tcPr>
            <w:tcW w:w="3970" w:type="dxa"/>
            <w:tcBorders>
              <w:right w:val="single" w:sz="4" w:space="0" w:color="auto"/>
            </w:tcBorders>
          </w:tcPr>
          <w:p w:rsidR="00792D39" w:rsidRPr="00290639" w:rsidRDefault="0097515F" w:rsidP="00FD532B">
            <w:pPr>
              <w:bidi w:val="0"/>
              <w:spacing w:before="240"/>
              <w:ind w:right="176"/>
              <w:rPr>
                <w:rFonts w:ascii="Times New Roman" w:hAnsi="Times New Roman" w:cs="Times New Roman"/>
                <w:i/>
                <w:iCs/>
                <w:color w:val="00B050"/>
                <w:sz w:val="20"/>
                <w:szCs w:val="20"/>
                <w:rtl/>
              </w:rPr>
            </w:pPr>
            <w:r w:rsidRPr="00290639">
              <w:rPr>
                <w:rFonts w:ascii="Times New Roman" w:hAnsi="Times New Roman" w:cs="Times New Roman"/>
                <w:color w:val="00B050"/>
                <w:sz w:val="20"/>
                <w:szCs w:val="20"/>
              </w:rPr>
              <w:t xml:space="preserve">Hypersensitivity to the active substance, </w:t>
            </w:r>
            <w:r w:rsidRPr="00290639">
              <w:rPr>
                <w:rFonts w:ascii="Times New Roman" w:hAnsi="Times New Roman" w:cs="Times New Roman"/>
                <w:color w:val="00B050"/>
                <w:sz w:val="20"/>
                <w:szCs w:val="20"/>
                <w:highlight w:val="yellow"/>
              </w:rPr>
              <w:t xml:space="preserve">substituted </w:t>
            </w:r>
            <w:proofErr w:type="spellStart"/>
            <w:r w:rsidRPr="00290639">
              <w:rPr>
                <w:rFonts w:ascii="Times New Roman" w:hAnsi="Times New Roman" w:cs="Times New Roman"/>
                <w:color w:val="00B050"/>
                <w:sz w:val="20"/>
                <w:szCs w:val="20"/>
                <w:highlight w:val="yellow"/>
              </w:rPr>
              <w:t>benzimidazoles</w:t>
            </w:r>
            <w:proofErr w:type="spellEnd"/>
            <w:r w:rsidRPr="00290639">
              <w:rPr>
                <w:rFonts w:ascii="Times New Roman" w:hAnsi="Times New Roman" w:cs="Times New Roman"/>
                <w:color w:val="00B050"/>
                <w:sz w:val="20"/>
                <w:szCs w:val="20"/>
              </w:rPr>
              <w:t>, or to any of the excipients.</w:t>
            </w:r>
          </w:p>
        </w:tc>
      </w:tr>
      <w:tr w:rsidR="00792D39" w:rsidRPr="00A875C0" w:rsidTr="007457DA">
        <w:tc>
          <w:tcPr>
            <w:tcW w:w="1184" w:type="dxa"/>
          </w:tcPr>
          <w:p w:rsidR="0097515F" w:rsidRPr="00B42DA6" w:rsidRDefault="0097515F" w:rsidP="00FD532B">
            <w:pPr>
              <w:bidi w:val="0"/>
              <w:ind w:right="0"/>
              <w:rPr>
                <w:rFonts w:ascii="Times New Roman" w:hAnsi="Times New Roman"/>
                <w:b/>
                <w:bCs/>
                <w:sz w:val="24"/>
                <w:szCs w:val="24"/>
              </w:rPr>
            </w:pPr>
            <w:r w:rsidRPr="00B42DA6">
              <w:rPr>
                <w:rFonts w:ascii="Times New Roman" w:hAnsi="Times New Roman"/>
                <w:b/>
                <w:bCs/>
                <w:sz w:val="24"/>
                <w:szCs w:val="24"/>
              </w:rPr>
              <w:t xml:space="preserve">4.4 Special warnings and special precautions for use </w:t>
            </w:r>
          </w:p>
          <w:p w:rsidR="00792D39" w:rsidRPr="0097515F" w:rsidRDefault="00792D39" w:rsidP="00FD532B">
            <w:pPr>
              <w:bidi w:val="0"/>
              <w:rPr>
                <w:rFonts w:ascii="Arial Narrow" w:hAnsi="Arial Narrow"/>
                <w:b/>
                <w:bCs/>
                <w:rtl/>
              </w:rPr>
            </w:pPr>
          </w:p>
        </w:tc>
        <w:tc>
          <w:tcPr>
            <w:tcW w:w="4253" w:type="dxa"/>
          </w:tcPr>
          <w:p w:rsidR="007B2310" w:rsidRPr="00290639" w:rsidRDefault="007B2310" w:rsidP="007B2310">
            <w:pPr>
              <w:pStyle w:val="CM47"/>
              <w:spacing w:line="278" w:lineRule="atLeast"/>
              <w:jc w:val="both"/>
              <w:rPr>
                <w:i/>
                <w:iCs/>
                <w:color w:val="000000"/>
                <w:sz w:val="20"/>
                <w:szCs w:val="20"/>
              </w:rPr>
            </w:pPr>
            <w:proofErr w:type="spellStart"/>
            <w:r w:rsidRPr="00290639">
              <w:rPr>
                <w:i/>
                <w:iCs/>
                <w:color w:val="000000"/>
                <w:sz w:val="20"/>
                <w:szCs w:val="20"/>
              </w:rPr>
              <w:t>Hypomagnesemia</w:t>
            </w:r>
            <w:proofErr w:type="spellEnd"/>
            <w:r w:rsidRPr="00290639">
              <w:rPr>
                <w:i/>
                <w:iCs/>
                <w:color w:val="000000"/>
                <w:sz w:val="20"/>
                <w:szCs w:val="20"/>
              </w:rPr>
              <w:t xml:space="preserve"> </w:t>
            </w:r>
          </w:p>
          <w:p w:rsidR="007B2310" w:rsidRPr="00290639" w:rsidRDefault="007B2310" w:rsidP="007B2310">
            <w:pPr>
              <w:pStyle w:val="CM27"/>
              <w:jc w:val="both"/>
              <w:rPr>
                <w:color w:val="000000"/>
                <w:sz w:val="20"/>
                <w:szCs w:val="20"/>
              </w:rPr>
            </w:pPr>
            <w:proofErr w:type="spellStart"/>
            <w:r w:rsidRPr="00290639">
              <w:rPr>
                <w:sz w:val="20"/>
                <w:szCs w:val="20"/>
              </w:rPr>
              <w:t>Hypomagnesemia</w:t>
            </w:r>
            <w:proofErr w:type="spellEnd"/>
            <w:r w:rsidRPr="00290639">
              <w:rPr>
                <w:sz w:val="20"/>
                <w:szCs w:val="20"/>
              </w:rPr>
              <w:t xml:space="preserve">, symptomatic and asymptomatic, has been reported rarely in patients treated with PPIs for at least three months, in most cases after a year of therapy. Serious adverse events include </w:t>
            </w:r>
            <w:proofErr w:type="spellStart"/>
            <w:r w:rsidRPr="00290639">
              <w:rPr>
                <w:sz w:val="20"/>
                <w:szCs w:val="20"/>
              </w:rPr>
              <w:t>tetany</w:t>
            </w:r>
            <w:proofErr w:type="spellEnd"/>
            <w:r w:rsidRPr="00290639">
              <w:rPr>
                <w:sz w:val="20"/>
                <w:szCs w:val="20"/>
              </w:rPr>
              <w:t xml:space="preserve">, arrhythmias, and seizures. In most patients, treatment of </w:t>
            </w:r>
            <w:proofErr w:type="spellStart"/>
            <w:r w:rsidRPr="00290639">
              <w:rPr>
                <w:sz w:val="20"/>
                <w:szCs w:val="20"/>
              </w:rPr>
              <w:t>hypomagnesemia</w:t>
            </w:r>
            <w:proofErr w:type="spellEnd"/>
            <w:r w:rsidRPr="00290639">
              <w:rPr>
                <w:sz w:val="20"/>
                <w:szCs w:val="20"/>
              </w:rPr>
              <w:t xml:space="preserve"> required magnesium replacement and discontinuation of the PPI. </w:t>
            </w:r>
          </w:p>
          <w:p w:rsidR="007B2310" w:rsidRPr="00290639" w:rsidRDefault="007B2310" w:rsidP="007B2310">
            <w:pPr>
              <w:pStyle w:val="CM27"/>
              <w:spacing w:before="120"/>
              <w:jc w:val="both"/>
              <w:rPr>
                <w:color w:val="000000"/>
                <w:sz w:val="20"/>
                <w:szCs w:val="20"/>
              </w:rPr>
            </w:pPr>
            <w:r w:rsidRPr="00290639">
              <w:rPr>
                <w:sz w:val="20"/>
                <w:szCs w:val="20"/>
              </w:rPr>
              <w:t xml:space="preserve">For patients expected to be on prolonged treatment or who take PPIs with medications such as digoxin or drugs that may cause </w:t>
            </w:r>
            <w:proofErr w:type="spellStart"/>
            <w:r w:rsidRPr="00290639">
              <w:rPr>
                <w:sz w:val="20"/>
                <w:szCs w:val="20"/>
              </w:rPr>
              <w:t>hypomagnesemia</w:t>
            </w:r>
            <w:proofErr w:type="spellEnd"/>
            <w:r w:rsidRPr="00290639">
              <w:rPr>
                <w:sz w:val="20"/>
                <w:szCs w:val="20"/>
              </w:rPr>
              <w:t xml:space="preserve"> (e.g., diuretics), health care professionals </w:t>
            </w:r>
            <w:r w:rsidRPr="00290639">
              <w:rPr>
                <w:color w:val="000000"/>
                <w:sz w:val="20"/>
                <w:szCs w:val="20"/>
              </w:rPr>
              <w:t>may consider monitoring magnesium levels prior to initiation of PPI treatment and periodically.</w:t>
            </w:r>
          </w:p>
          <w:p w:rsidR="00792D39" w:rsidRPr="00290639" w:rsidRDefault="00792D39" w:rsidP="007B2310">
            <w:pPr>
              <w:bidi w:val="0"/>
              <w:spacing w:after="0"/>
              <w:jc w:val="both"/>
              <w:rPr>
                <w:b/>
                <w:bCs/>
                <w:sz w:val="20"/>
                <w:szCs w:val="20"/>
              </w:rPr>
            </w:pPr>
          </w:p>
          <w:p w:rsidR="007B2310" w:rsidRPr="00290639" w:rsidRDefault="007B2310" w:rsidP="00290639">
            <w:pPr>
              <w:bidi w:val="0"/>
              <w:spacing w:after="0"/>
              <w:ind w:left="33"/>
              <w:rPr>
                <w:b/>
                <w:bCs/>
                <w:sz w:val="20"/>
                <w:szCs w:val="20"/>
              </w:rPr>
            </w:pPr>
          </w:p>
          <w:p w:rsidR="007457DA" w:rsidRDefault="007457DA" w:rsidP="00290639">
            <w:pPr>
              <w:bidi w:val="0"/>
              <w:spacing w:line="0" w:lineRule="atLeast"/>
              <w:ind w:left="33"/>
              <w:rPr>
                <w:rFonts w:ascii="Times New Roman" w:hAnsi="Times New Roman" w:cs="Times New Roman"/>
                <w:i/>
                <w:iCs/>
                <w:sz w:val="20"/>
                <w:szCs w:val="20"/>
              </w:rPr>
            </w:pPr>
          </w:p>
          <w:p w:rsidR="007457DA" w:rsidRDefault="007457DA" w:rsidP="007457DA">
            <w:pPr>
              <w:bidi w:val="0"/>
              <w:spacing w:line="0" w:lineRule="atLeast"/>
              <w:ind w:left="33"/>
              <w:rPr>
                <w:rFonts w:ascii="Times New Roman" w:hAnsi="Times New Roman" w:cs="Times New Roman"/>
                <w:i/>
                <w:iCs/>
                <w:sz w:val="20"/>
                <w:szCs w:val="20"/>
              </w:rPr>
            </w:pPr>
          </w:p>
          <w:p w:rsidR="007457DA" w:rsidRDefault="007457DA" w:rsidP="007457DA">
            <w:pPr>
              <w:bidi w:val="0"/>
              <w:spacing w:line="0" w:lineRule="atLeast"/>
              <w:ind w:left="33"/>
              <w:rPr>
                <w:rFonts w:ascii="Times New Roman" w:hAnsi="Times New Roman" w:cs="Times New Roman"/>
                <w:i/>
                <w:iCs/>
                <w:sz w:val="20"/>
                <w:szCs w:val="20"/>
              </w:rPr>
            </w:pPr>
          </w:p>
          <w:p w:rsidR="007457DA" w:rsidRDefault="007457DA" w:rsidP="007457DA">
            <w:pPr>
              <w:bidi w:val="0"/>
              <w:spacing w:line="0" w:lineRule="atLeast"/>
              <w:ind w:left="33"/>
              <w:rPr>
                <w:rFonts w:ascii="Times New Roman" w:hAnsi="Times New Roman" w:cs="Times New Roman"/>
                <w:i/>
                <w:iCs/>
                <w:sz w:val="20"/>
                <w:szCs w:val="20"/>
              </w:rPr>
            </w:pPr>
          </w:p>
          <w:p w:rsidR="007457DA" w:rsidRDefault="007457DA" w:rsidP="007457DA">
            <w:pPr>
              <w:bidi w:val="0"/>
              <w:spacing w:line="0" w:lineRule="atLeast"/>
              <w:ind w:left="33"/>
              <w:rPr>
                <w:rFonts w:ascii="Times New Roman" w:hAnsi="Times New Roman" w:cs="Times New Roman"/>
                <w:i/>
                <w:iCs/>
                <w:sz w:val="20"/>
                <w:szCs w:val="20"/>
              </w:rPr>
            </w:pPr>
          </w:p>
          <w:p w:rsidR="007457DA" w:rsidRDefault="007457DA" w:rsidP="007457DA">
            <w:pPr>
              <w:bidi w:val="0"/>
              <w:spacing w:line="0" w:lineRule="atLeast"/>
              <w:ind w:left="33"/>
              <w:rPr>
                <w:rFonts w:ascii="Times New Roman" w:hAnsi="Times New Roman" w:cs="Times New Roman"/>
                <w:i/>
                <w:iCs/>
                <w:sz w:val="20"/>
                <w:szCs w:val="20"/>
              </w:rPr>
            </w:pPr>
          </w:p>
          <w:p w:rsidR="007B2310" w:rsidRPr="00290639" w:rsidRDefault="007B2310" w:rsidP="007457DA">
            <w:pPr>
              <w:bidi w:val="0"/>
              <w:spacing w:line="0" w:lineRule="atLeast"/>
              <w:ind w:left="33"/>
              <w:rPr>
                <w:rFonts w:ascii="Times New Roman" w:hAnsi="Times New Roman" w:cs="Times New Roman"/>
                <w:i/>
                <w:iCs/>
                <w:sz w:val="20"/>
                <w:szCs w:val="20"/>
              </w:rPr>
            </w:pPr>
            <w:r w:rsidRPr="00290639">
              <w:rPr>
                <w:rFonts w:ascii="Times New Roman" w:hAnsi="Times New Roman" w:cs="Times New Roman"/>
                <w:i/>
                <w:iCs/>
                <w:sz w:val="20"/>
                <w:szCs w:val="20"/>
              </w:rPr>
              <w:t>Bone fracture</w:t>
            </w:r>
          </w:p>
          <w:p w:rsidR="007457DA" w:rsidRPr="007457DA" w:rsidRDefault="007B2310" w:rsidP="007457DA">
            <w:pPr>
              <w:bidi w:val="0"/>
              <w:spacing w:after="0" w:line="240" w:lineRule="auto"/>
              <w:contextualSpacing/>
              <w:rPr>
                <w:sz w:val="20"/>
                <w:szCs w:val="20"/>
              </w:rPr>
            </w:pPr>
            <w:r w:rsidRPr="007457DA">
              <w:rPr>
                <w:sz w:val="20"/>
                <w:szCs w:val="20"/>
              </w:rPr>
              <w:t xml:space="preserve">Several published observational studies suggest </w:t>
            </w:r>
          </w:p>
          <w:p w:rsidR="007457DA" w:rsidRPr="007457DA" w:rsidRDefault="007B2310" w:rsidP="007457DA">
            <w:pPr>
              <w:bidi w:val="0"/>
              <w:spacing w:after="0" w:line="240" w:lineRule="auto"/>
              <w:contextualSpacing/>
              <w:rPr>
                <w:sz w:val="20"/>
                <w:szCs w:val="20"/>
              </w:rPr>
            </w:pPr>
            <w:proofErr w:type="gramStart"/>
            <w:r w:rsidRPr="007457DA">
              <w:rPr>
                <w:sz w:val="20"/>
                <w:szCs w:val="20"/>
              </w:rPr>
              <w:t>that</w:t>
            </w:r>
            <w:proofErr w:type="gramEnd"/>
            <w:r w:rsidRPr="007457DA">
              <w:rPr>
                <w:sz w:val="20"/>
                <w:szCs w:val="20"/>
              </w:rPr>
              <w:t xml:space="preserve"> proton pump inhibitor (PPI) therapy may be associated with an increased risk for osteoporosis-related fractures of the hip, wrist, or spine. </w:t>
            </w:r>
          </w:p>
          <w:p w:rsidR="007457DA" w:rsidRPr="007457DA" w:rsidRDefault="007B2310" w:rsidP="007457DA">
            <w:pPr>
              <w:bidi w:val="0"/>
              <w:spacing w:after="0" w:line="240" w:lineRule="auto"/>
              <w:contextualSpacing/>
              <w:rPr>
                <w:sz w:val="20"/>
                <w:szCs w:val="20"/>
              </w:rPr>
            </w:pPr>
            <w:r w:rsidRPr="007457DA">
              <w:rPr>
                <w:sz w:val="20"/>
                <w:szCs w:val="20"/>
              </w:rPr>
              <w:t>The risk of fracture was increased in patients who received high-dose, defined as</w:t>
            </w:r>
            <w:r w:rsidRPr="007457DA">
              <w:rPr>
                <w:i/>
                <w:iCs/>
                <w:sz w:val="20"/>
                <w:szCs w:val="20"/>
              </w:rPr>
              <w:t xml:space="preserve"> </w:t>
            </w:r>
            <w:r w:rsidRPr="007457DA">
              <w:rPr>
                <w:sz w:val="20"/>
                <w:szCs w:val="20"/>
              </w:rPr>
              <w:t xml:space="preserve">multiple daily </w:t>
            </w:r>
          </w:p>
          <w:p w:rsidR="007457DA" w:rsidRPr="007457DA" w:rsidRDefault="007B2310" w:rsidP="007457DA">
            <w:pPr>
              <w:bidi w:val="0"/>
              <w:spacing w:after="0" w:line="240" w:lineRule="auto"/>
              <w:contextualSpacing/>
              <w:rPr>
                <w:sz w:val="20"/>
                <w:szCs w:val="20"/>
              </w:rPr>
            </w:pPr>
            <w:proofErr w:type="gramStart"/>
            <w:r w:rsidRPr="007457DA">
              <w:rPr>
                <w:sz w:val="20"/>
                <w:szCs w:val="20"/>
              </w:rPr>
              <w:t>doses</w:t>
            </w:r>
            <w:proofErr w:type="gramEnd"/>
            <w:r w:rsidRPr="007457DA">
              <w:rPr>
                <w:sz w:val="20"/>
                <w:szCs w:val="20"/>
              </w:rPr>
              <w:t xml:space="preserve">, and long-term PPI therapy (a year or longer). Patients should use the lowest dose and shortest duration of PPI therapy appropriate to the condition being treated. Patients at risk for </w:t>
            </w:r>
          </w:p>
          <w:p w:rsidR="007B2310" w:rsidRPr="00290639" w:rsidRDefault="007B2310" w:rsidP="007457DA">
            <w:pPr>
              <w:bidi w:val="0"/>
              <w:spacing w:after="0" w:line="240" w:lineRule="auto"/>
              <w:contextualSpacing/>
              <w:rPr>
                <w:rtl/>
              </w:rPr>
            </w:pPr>
            <w:proofErr w:type="gramStart"/>
            <w:r w:rsidRPr="007457DA">
              <w:rPr>
                <w:sz w:val="20"/>
                <w:szCs w:val="20"/>
              </w:rPr>
              <w:t>osteoporosis-related</w:t>
            </w:r>
            <w:proofErr w:type="gramEnd"/>
            <w:r w:rsidRPr="007457DA">
              <w:rPr>
                <w:sz w:val="20"/>
                <w:szCs w:val="20"/>
              </w:rPr>
              <w:t xml:space="preserve"> fractures should be managed according to established guidelines</w:t>
            </w:r>
            <w:r w:rsidRPr="00290639">
              <w:t>.</w:t>
            </w:r>
          </w:p>
        </w:tc>
        <w:tc>
          <w:tcPr>
            <w:tcW w:w="3970" w:type="dxa"/>
            <w:tcBorders>
              <w:right w:val="single" w:sz="4" w:space="0" w:color="auto"/>
            </w:tcBorders>
          </w:tcPr>
          <w:p w:rsidR="0097515F" w:rsidRPr="00290639" w:rsidRDefault="0097515F" w:rsidP="00FD532B">
            <w:pPr>
              <w:pStyle w:val="CM47"/>
              <w:spacing w:line="278" w:lineRule="atLeast"/>
              <w:ind w:right="176"/>
              <w:rPr>
                <w:i/>
                <w:iCs/>
                <w:color w:val="000000"/>
                <w:sz w:val="20"/>
                <w:szCs w:val="20"/>
              </w:rPr>
            </w:pPr>
            <w:proofErr w:type="spellStart"/>
            <w:r w:rsidRPr="00290639">
              <w:rPr>
                <w:i/>
                <w:iCs/>
                <w:color w:val="000000"/>
                <w:sz w:val="20"/>
                <w:szCs w:val="20"/>
              </w:rPr>
              <w:lastRenderedPageBreak/>
              <w:t>Hypomagnesemia</w:t>
            </w:r>
            <w:proofErr w:type="spellEnd"/>
            <w:r w:rsidRPr="00290639">
              <w:rPr>
                <w:i/>
                <w:iCs/>
                <w:color w:val="000000"/>
                <w:sz w:val="20"/>
                <w:szCs w:val="20"/>
              </w:rPr>
              <w:t xml:space="preserve"> </w:t>
            </w:r>
          </w:p>
          <w:p w:rsidR="0097515F" w:rsidRPr="00290639" w:rsidRDefault="0097515F" w:rsidP="00FD532B">
            <w:pPr>
              <w:pStyle w:val="CM27"/>
              <w:ind w:right="176"/>
              <w:rPr>
                <w:color w:val="000000"/>
                <w:sz w:val="20"/>
                <w:szCs w:val="20"/>
              </w:rPr>
            </w:pPr>
            <w:r w:rsidRPr="00290639">
              <w:rPr>
                <w:sz w:val="20"/>
                <w:szCs w:val="20"/>
                <w:highlight w:val="yellow"/>
              </w:rPr>
              <w:t>Severe hypomagnesaemia has been reported in patients treated with</w:t>
            </w:r>
            <w:r w:rsidRPr="00290639">
              <w:rPr>
                <w:sz w:val="20"/>
                <w:szCs w:val="20"/>
              </w:rPr>
              <w:t xml:space="preserve"> in patients treated with PPIs for at least three months, in most cases after a year of therapy. Serious adverse events include </w:t>
            </w:r>
            <w:proofErr w:type="spellStart"/>
            <w:r w:rsidRPr="00290639">
              <w:rPr>
                <w:sz w:val="20"/>
                <w:szCs w:val="20"/>
              </w:rPr>
              <w:t>tetany</w:t>
            </w:r>
            <w:proofErr w:type="spellEnd"/>
            <w:r w:rsidRPr="00290639">
              <w:rPr>
                <w:sz w:val="20"/>
                <w:szCs w:val="20"/>
              </w:rPr>
              <w:t xml:space="preserve">, arrhythmias, and seizures. In most patients, treatment of </w:t>
            </w:r>
            <w:proofErr w:type="spellStart"/>
            <w:r w:rsidRPr="00290639">
              <w:rPr>
                <w:sz w:val="20"/>
                <w:szCs w:val="20"/>
              </w:rPr>
              <w:t>hypomagnesemia</w:t>
            </w:r>
            <w:proofErr w:type="spellEnd"/>
            <w:r w:rsidRPr="00290639">
              <w:rPr>
                <w:sz w:val="20"/>
                <w:szCs w:val="20"/>
              </w:rPr>
              <w:t xml:space="preserve"> required magnesium replacement and discontinuation of the PPI. </w:t>
            </w:r>
          </w:p>
          <w:p w:rsidR="00792D39" w:rsidRPr="00290639" w:rsidRDefault="00792D39" w:rsidP="00FD532B">
            <w:pPr>
              <w:bidi w:val="0"/>
              <w:spacing w:after="0" w:line="240" w:lineRule="auto"/>
              <w:ind w:right="176"/>
              <w:rPr>
                <w:rFonts w:ascii="Times New Roman" w:hAnsi="Times New Roman" w:cs="Times New Roman"/>
                <w:sz w:val="20"/>
                <w:szCs w:val="20"/>
              </w:rPr>
            </w:pPr>
          </w:p>
          <w:p w:rsidR="007457DA" w:rsidRDefault="007457DA" w:rsidP="00FD532B">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7457DA" w:rsidRDefault="007457DA" w:rsidP="007457DA">
            <w:pPr>
              <w:bidi w:val="0"/>
              <w:spacing w:line="0" w:lineRule="atLeast"/>
              <w:ind w:right="176"/>
              <w:rPr>
                <w:rFonts w:ascii="Times New Roman" w:hAnsi="Times New Roman" w:cs="Times New Roman"/>
                <w:i/>
                <w:iCs/>
                <w:sz w:val="20"/>
                <w:szCs w:val="20"/>
              </w:rPr>
            </w:pPr>
          </w:p>
          <w:p w:rsidR="0097515F" w:rsidRPr="00290639" w:rsidRDefault="0097515F" w:rsidP="007457DA">
            <w:pPr>
              <w:bidi w:val="0"/>
              <w:spacing w:line="0" w:lineRule="atLeast"/>
              <w:ind w:right="176"/>
              <w:rPr>
                <w:rFonts w:ascii="Times New Roman" w:hAnsi="Times New Roman" w:cs="Times New Roman"/>
                <w:i/>
                <w:iCs/>
                <w:sz w:val="20"/>
                <w:szCs w:val="20"/>
              </w:rPr>
            </w:pPr>
            <w:r w:rsidRPr="00290639">
              <w:rPr>
                <w:rFonts w:ascii="Times New Roman" w:hAnsi="Times New Roman" w:cs="Times New Roman"/>
                <w:i/>
                <w:iCs/>
                <w:sz w:val="20"/>
                <w:szCs w:val="20"/>
              </w:rPr>
              <w:t>Bone fracture</w:t>
            </w:r>
          </w:p>
          <w:p w:rsidR="0097515F" w:rsidRPr="00290639" w:rsidRDefault="0097515F" w:rsidP="00FD532B">
            <w:pPr>
              <w:bidi w:val="0"/>
              <w:ind w:right="176"/>
              <w:rPr>
                <w:rFonts w:ascii="Times New Roman" w:hAnsi="Times New Roman" w:cs="Times New Roman"/>
                <w:color w:val="00B050"/>
                <w:sz w:val="20"/>
                <w:szCs w:val="20"/>
              </w:rPr>
            </w:pPr>
            <w:r w:rsidRPr="00290639">
              <w:rPr>
                <w:rFonts w:ascii="Times New Roman" w:hAnsi="Times New Roman" w:cs="Times New Roman"/>
                <w:color w:val="00B050"/>
                <w:sz w:val="20"/>
                <w:szCs w:val="20"/>
                <w:highlight w:val="yellow"/>
              </w:rPr>
              <w:t xml:space="preserve">Proton pump inhibitors, especially if used in high doses and over long durations (&gt;1 year), may modestly increase the risk of hip, wrist and spine fracture, predominantly in the elderly or in presence of other </w:t>
            </w:r>
            <w:proofErr w:type="spellStart"/>
            <w:r w:rsidRPr="00290639">
              <w:rPr>
                <w:rFonts w:ascii="Times New Roman" w:hAnsi="Times New Roman" w:cs="Times New Roman"/>
                <w:color w:val="00B050"/>
                <w:sz w:val="20"/>
                <w:szCs w:val="20"/>
                <w:highlight w:val="yellow"/>
              </w:rPr>
              <w:t>recognised</w:t>
            </w:r>
            <w:proofErr w:type="spellEnd"/>
            <w:r w:rsidRPr="00290639">
              <w:rPr>
                <w:rFonts w:ascii="Times New Roman" w:hAnsi="Times New Roman" w:cs="Times New Roman"/>
                <w:color w:val="00B050"/>
                <w:sz w:val="20"/>
                <w:szCs w:val="20"/>
                <w:highlight w:val="yellow"/>
              </w:rPr>
              <w:t xml:space="preserve"> risk factors. Observational studies suggest that proton pump inhibitors may increase the overall risk of fracture by 10–40%. Some of this increase may be due to other risk factors.  Patients at risk of osteoporosis should receive care according to current clinical guidelines and they should have an adequate intake of vitamin D and calcium.</w:t>
            </w:r>
          </w:p>
          <w:p w:rsidR="0097515F" w:rsidRPr="00290639" w:rsidRDefault="007B2310" w:rsidP="00290639">
            <w:pPr>
              <w:spacing w:line="0" w:lineRule="atLeast"/>
              <w:jc w:val="both"/>
              <w:rPr>
                <w:rFonts w:ascii="Times New Roman" w:hAnsi="Times New Roman" w:cs="Times New Roman"/>
                <w:strike/>
                <w:color w:val="00B050"/>
                <w:sz w:val="20"/>
                <w:szCs w:val="20"/>
              </w:rPr>
            </w:pPr>
            <w:r w:rsidRPr="00290639">
              <w:rPr>
                <w:rFonts w:ascii="Times New Roman" w:hAnsi="Times New Roman" w:cs="Times New Roman"/>
                <w:strike/>
                <w:color w:val="00B050"/>
                <w:sz w:val="20"/>
                <w:szCs w:val="20"/>
              </w:rPr>
              <w:t>Several published observational studies suggest that proton pump inhibitor (PPI) therapy may be associated with an increased risk for osteoporosis-related fractures of the hip, wrist, or spine. The risk of fracture was increased in patients who received high-dose, defined as</w:t>
            </w:r>
            <w:r w:rsidRPr="00290639">
              <w:rPr>
                <w:rFonts w:ascii="Times New Roman" w:hAnsi="Times New Roman" w:cs="Times New Roman"/>
                <w:i/>
                <w:iCs/>
                <w:strike/>
                <w:color w:val="00B050"/>
                <w:sz w:val="20"/>
                <w:szCs w:val="20"/>
              </w:rPr>
              <w:t xml:space="preserve"> </w:t>
            </w:r>
            <w:r w:rsidRPr="00290639">
              <w:rPr>
                <w:rFonts w:ascii="Times New Roman" w:hAnsi="Times New Roman" w:cs="Times New Roman"/>
                <w:strike/>
                <w:color w:val="00B050"/>
                <w:sz w:val="20"/>
                <w:szCs w:val="20"/>
              </w:rPr>
              <w:t>multiple daily doses, and long-term PPI therapy (a year or longer). Patients should use the lowest dose and shortest duration of PPI therapy appropriate to the condition being treated. Patients at risk for osteoporosis-related fractures should be managed accor</w:t>
            </w:r>
            <w:r w:rsidR="00290639">
              <w:rPr>
                <w:rFonts w:ascii="Times New Roman" w:hAnsi="Times New Roman" w:cs="Times New Roman"/>
                <w:strike/>
                <w:color w:val="00B050"/>
                <w:sz w:val="20"/>
                <w:szCs w:val="20"/>
              </w:rPr>
              <w:t>ding to established guidelines.</w:t>
            </w:r>
          </w:p>
        </w:tc>
      </w:tr>
      <w:tr w:rsidR="0097515F" w:rsidRPr="00A875C0" w:rsidTr="007457DA">
        <w:tc>
          <w:tcPr>
            <w:tcW w:w="1184" w:type="dxa"/>
          </w:tcPr>
          <w:p w:rsidR="0097515F" w:rsidRPr="00B42DA6" w:rsidRDefault="0097515F" w:rsidP="00FD532B">
            <w:pPr>
              <w:bidi w:val="0"/>
              <w:spacing w:before="240"/>
              <w:rPr>
                <w:rFonts w:ascii="Times New Roman" w:hAnsi="Times New Roman"/>
                <w:b/>
                <w:bCs/>
                <w:sz w:val="24"/>
                <w:szCs w:val="24"/>
              </w:rPr>
            </w:pPr>
            <w:r w:rsidRPr="00B42DA6">
              <w:rPr>
                <w:rFonts w:ascii="Times New Roman" w:hAnsi="Times New Roman"/>
                <w:b/>
                <w:bCs/>
                <w:sz w:val="24"/>
                <w:szCs w:val="24"/>
              </w:rPr>
              <w:lastRenderedPageBreak/>
              <w:t>4.8 Undesirable effects</w:t>
            </w:r>
          </w:p>
          <w:p w:rsidR="0097515F" w:rsidRPr="00B42DA6" w:rsidRDefault="0097515F" w:rsidP="0097515F">
            <w:pPr>
              <w:rPr>
                <w:rFonts w:ascii="Times New Roman" w:hAnsi="Times New Roman"/>
                <w:b/>
                <w:bCs/>
                <w:sz w:val="24"/>
                <w:szCs w:val="24"/>
              </w:rPr>
            </w:pPr>
          </w:p>
        </w:tc>
        <w:tc>
          <w:tcPr>
            <w:tcW w:w="4253" w:type="dxa"/>
          </w:tcPr>
          <w:p w:rsidR="007B2310" w:rsidRPr="00290639" w:rsidRDefault="007B2310" w:rsidP="007B2310">
            <w:pPr>
              <w:ind w:right="33"/>
              <w:jc w:val="right"/>
              <w:rPr>
                <w:sz w:val="20"/>
                <w:szCs w:val="20"/>
              </w:rPr>
            </w:pPr>
            <w:r w:rsidRPr="00290639">
              <w:rPr>
                <w:rFonts w:ascii="Times New Roman" w:hAnsi="Times New Roman" w:cs="Times New Roman"/>
                <w:sz w:val="20"/>
                <w:szCs w:val="20"/>
              </w:rPr>
              <w:t>Musculoskeletal and connective tissue disorders:</w:t>
            </w:r>
          </w:p>
          <w:p w:rsidR="0097515F" w:rsidRPr="00290639" w:rsidRDefault="007B2310" w:rsidP="00290639">
            <w:pPr>
              <w:ind w:right="33"/>
              <w:jc w:val="right"/>
              <w:rPr>
                <w:sz w:val="20"/>
                <w:szCs w:val="20"/>
                <w:rtl/>
              </w:rPr>
            </w:pPr>
            <w:r w:rsidRPr="00290639">
              <w:rPr>
                <w:rFonts w:ascii="Times New Roman" w:hAnsi="Times New Roman" w:cs="Times New Roman"/>
                <w:sz w:val="20"/>
                <w:szCs w:val="20"/>
              </w:rPr>
              <w:t>Rare: Arthralgia; Myalgia</w:t>
            </w:r>
          </w:p>
        </w:tc>
        <w:tc>
          <w:tcPr>
            <w:tcW w:w="3970" w:type="dxa"/>
            <w:tcBorders>
              <w:right w:val="single" w:sz="4" w:space="0" w:color="auto"/>
            </w:tcBorders>
          </w:tcPr>
          <w:p w:rsidR="007B2310" w:rsidRPr="00290639" w:rsidRDefault="0097515F" w:rsidP="00FD532B">
            <w:pPr>
              <w:bidi w:val="0"/>
              <w:spacing w:after="0" w:line="240" w:lineRule="auto"/>
              <w:ind w:right="176"/>
              <w:rPr>
                <w:rFonts w:ascii="Times New Roman" w:hAnsi="Times New Roman" w:cs="Times New Roman"/>
                <w:sz w:val="20"/>
                <w:szCs w:val="20"/>
              </w:rPr>
            </w:pPr>
            <w:r w:rsidRPr="00290639">
              <w:rPr>
                <w:rFonts w:ascii="Times New Roman" w:hAnsi="Times New Roman" w:cs="Times New Roman"/>
                <w:sz w:val="20"/>
                <w:szCs w:val="20"/>
              </w:rPr>
              <w:t>Musculoskeletal and connective tissue disorders</w:t>
            </w:r>
            <w:r w:rsidR="007B2310" w:rsidRPr="00290639">
              <w:rPr>
                <w:rFonts w:ascii="Times New Roman" w:hAnsi="Times New Roman" w:cs="Times New Roman"/>
                <w:sz w:val="20"/>
                <w:szCs w:val="20"/>
              </w:rPr>
              <w:t>:</w:t>
            </w:r>
          </w:p>
          <w:p w:rsidR="0097515F" w:rsidRPr="00290639" w:rsidRDefault="0097515F" w:rsidP="007B2310">
            <w:pPr>
              <w:bidi w:val="0"/>
              <w:spacing w:after="0" w:line="240" w:lineRule="auto"/>
              <w:ind w:right="176"/>
              <w:rPr>
                <w:rFonts w:ascii="Times New Roman" w:hAnsi="Times New Roman" w:cs="Times New Roman"/>
                <w:bCs/>
                <w:iCs/>
                <w:sz w:val="20"/>
                <w:szCs w:val="20"/>
              </w:rPr>
            </w:pPr>
            <w:r w:rsidRPr="00290639">
              <w:rPr>
                <w:rFonts w:ascii="Times New Roman" w:hAnsi="Times New Roman" w:cs="Times New Roman"/>
                <w:sz w:val="20"/>
                <w:szCs w:val="20"/>
                <w:highlight w:val="yellow"/>
              </w:rPr>
              <w:t xml:space="preserve"> Uncommon: Fracture of the hip, wrist or spine </w:t>
            </w:r>
            <w:r w:rsidRPr="00290639">
              <w:rPr>
                <w:rFonts w:ascii="Times New Roman" w:hAnsi="Times New Roman" w:cs="Times New Roman"/>
                <w:bCs/>
                <w:iCs/>
                <w:sz w:val="20"/>
                <w:szCs w:val="20"/>
                <w:highlight w:val="yellow"/>
              </w:rPr>
              <w:t>(see section 4.4)</w:t>
            </w:r>
            <w:r w:rsidRPr="00290639">
              <w:rPr>
                <w:rFonts w:ascii="Times New Roman" w:hAnsi="Times New Roman" w:cs="Times New Roman"/>
                <w:bCs/>
                <w:iCs/>
                <w:sz w:val="20"/>
                <w:szCs w:val="20"/>
              </w:rPr>
              <w:t>.</w:t>
            </w:r>
          </w:p>
          <w:p w:rsidR="0097515F" w:rsidRPr="00290639" w:rsidRDefault="0097515F" w:rsidP="00FD532B">
            <w:pPr>
              <w:pStyle w:val="a6"/>
              <w:ind w:right="176"/>
              <w:rPr>
                <w:sz w:val="20"/>
                <w:szCs w:val="20"/>
              </w:rPr>
            </w:pPr>
            <w:r w:rsidRPr="00290639">
              <w:rPr>
                <w:sz w:val="20"/>
                <w:szCs w:val="20"/>
              </w:rPr>
              <w:t>Rare: Arthralgia; Myalgia</w:t>
            </w:r>
          </w:p>
        </w:tc>
      </w:tr>
    </w:tbl>
    <w:p w:rsidR="00A455A3" w:rsidRPr="007457DA" w:rsidRDefault="00A455A3" w:rsidP="00F775AD">
      <w:pPr>
        <w:ind w:left="-143" w:right="-142"/>
        <w:rPr>
          <w:rFonts w:cs="David"/>
          <w:sz w:val="24"/>
          <w:szCs w:val="24"/>
        </w:rPr>
      </w:pPr>
      <w:bookmarkStart w:id="0" w:name="_GoBack"/>
      <w:bookmarkEnd w:id="0"/>
    </w:p>
    <w:sectPr w:rsidR="00A455A3" w:rsidRPr="007457DA" w:rsidSect="007E17F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58B" w:rsidRDefault="0013658B" w:rsidP="009B623E">
      <w:pPr>
        <w:spacing w:after="0" w:line="240" w:lineRule="auto"/>
      </w:pPr>
      <w:r>
        <w:separator/>
      </w:r>
    </w:p>
  </w:endnote>
  <w:endnote w:type="continuationSeparator" w:id="0">
    <w:p w:rsidR="0013658B" w:rsidRDefault="0013658B" w:rsidP="009B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 w:name="Naskh Traditional MT">
    <w:altName w:val="Times New Roman"/>
    <w:charset w:val="B3"/>
    <w:family w:val="auto"/>
    <w:pitch w:val="variable"/>
    <w:sig w:usb0="00000001" w:usb1="00000000" w:usb2="00000000" w:usb3="00000000" w:csb0="00000000" w:csb1="00000000"/>
  </w:font>
  <w:font w:name="QDavid">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David Transparent">
    <w:panose1 w:val="020E05020604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3E" w:rsidRDefault="009B623E" w:rsidP="009B623E">
    <w:pPr>
      <w:pStyle w:val="a9"/>
    </w:pPr>
  </w:p>
  <w:p w:rsidR="009B623E" w:rsidRDefault="009B62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58B" w:rsidRDefault="0013658B" w:rsidP="009B623E">
      <w:pPr>
        <w:spacing w:after="0" w:line="240" w:lineRule="auto"/>
      </w:pPr>
      <w:r>
        <w:separator/>
      </w:r>
    </w:p>
  </w:footnote>
  <w:footnote w:type="continuationSeparator" w:id="0">
    <w:p w:rsidR="0013658B" w:rsidRDefault="0013658B" w:rsidP="009B62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6C53"/>
    <w:multiLevelType w:val="hybridMultilevel"/>
    <w:tmpl w:val="7DCA4688"/>
    <w:lvl w:ilvl="0" w:tplc="04090001">
      <w:start w:val="1"/>
      <w:numFmt w:val="bullet"/>
      <w:lvlText w:val=""/>
      <w:lvlJc w:val="left"/>
      <w:pPr>
        <w:ind w:left="720" w:hanging="360"/>
      </w:pPr>
      <w:rPr>
        <w:rFonts w:ascii="Symbol" w:hAnsi="Symbol" w:hint="default"/>
      </w:rPr>
    </w:lvl>
    <w:lvl w:ilvl="1" w:tplc="6744F3E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637F"/>
    <w:multiLevelType w:val="hybridMultilevel"/>
    <w:tmpl w:val="705253FE"/>
    <w:lvl w:ilvl="0" w:tplc="ABAEA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20C1F"/>
    <w:multiLevelType w:val="hybridMultilevel"/>
    <w:tmpl w:val="D0249CD6"/>
    <w:lvl w:ilvl="0" w:tplc="CB7C06BC">
      <w:start w:val="5"/>
      <w:numFmt w:val="bullet"/>
      <w:lvlText w:val=""/>
      <w:lvlJc w:val="left"/>
      <w:pPr>
        <w:ind w:left="217" w:hanging="360"/>
      </w:pPr>
      <w:rPr>
        <w:rFonts w:ascii="Wingdings 2" w:eastAsia="Calibri" w:hAnsi="Wingdings 2" w:cs="Arial" w:hint="default"/>
        <w:b w:val="0"/>
      </w:rPr>
    </w:lvl>
    <w:lvl w:ilvl="1" w:tplc="04090003" w:tentative="1">
      <w:start w:val="1"/>
      <w:numFmt w:val="bullet"/>
      <w:lvlText w:val="o"/>
      <w:lvlJc w:val="left"/>
      <w:pPr>
        <w:ind w:left="937" w:hanging="360"/>
      </w:pPr>
      <w:rPr>
        <w:rFonts w:ascii="Courier New" w:hAnsi="Courier New" w:cs="Courier New" w:hint="default"/>
      </w:rPr>
    </w:lvl>
    <w:lvl w:ilvl="2" w:tplc="04090005" w:tentative="1">
      <w:start w:val="1"/>
      <w:numFmt w:val="bullet"/>
      <w:lvlText w:val=""/>
      <w:lvlJc w:val="left"/>
      <w:pPr>
        <w:ind w:left="1657" w:hanging="360"/>
      </w:pPr>
      <w:rPr>
        <w:rFonts w:ascii="Wingdings" w:hAnsi="Wingdings" w:hint="default"/>
      </w:rPr>
    </w:lvl>
    <w:lvl w:ilvl="3" w:tplc="04090001" w:tentative="1">
      <w:start w:val="1"/>
      <w:numFmt w:val="bullet"/>
      <w:lvlText w:val=""/>
      <w:lvlJc w:val="left"/>
      <w:pPr>
        <w:ind w:left="2377" w:hanging="360"/>
      </w:pPr>
      <w:rPr>
        <w:rFonts w:ascii="Symbol" w:hAnsi="Symbol" w:hint="default"/>
      </w:rPr>
    </w:lvl>
    <w:lvl w:ilvl="4" w:tplc="04090003" w:tentative="1">
      <w:start w:val="1"/>
      <w:numFmt w:val="bullet"/>
      <w:lvlText w:val="o"/>
      <w:lvlJc w:val="left"/>
      <w:pPr>
        <w:ind w:left="3097" w:hanging="360"/>
      </w:pPr>
      <w:rPr>
        <w:rFonts w:ascii="Courier New" w:hAnsi="Courier New" w:cs="Courier New" w:hint="default"/>
      </w:rPr>
    </w:lvl>
    <w:lvl w:ilvl="5" w:tplc="04090005" w:tentative="1">
      <w:start w:val="1"/>
      <w:numFmt w:val="bullet"/>
      <w:lvlText w:val=""/>
      <w:lvlJc w:val="left"/>
      <w:pPr>
        <w:ind w:left="3817" w:hanging="360"/>
      </w:pPr>
      <w:rPr>
        <w:rFonts w:ascii="Wingdings" w:hAnsi="Wingdings" w:hint="default"/>
      </w:rPr>
    </w:lvl>
    <w:lvl w:ilvl="6" w:tplc="04090001" w:tentative="1">
      <w:start w:val="1"/>
      <w:numFmt w:val="bullet"/>
      <w:lvlText w:val=""/>
      <w:lvlJc w:val="left"/>
      <w:pPr>
        <w:ind w:left="4537" w:hanging="360"/>
      </w:pPr>
      <w:rPr>
        <w:rFonts w:ascii="Symbol" w:hAnsi="Symbol" w:hint="default"/>
      </w:rPr>
    </w:lvl>
    <w:lvl w:ilvl="7" w:tplc="04090003" w:tentative="1">
      <w:start w:val="1"/>
      <w:numFmt w:val="bullet"/>
      <w:lvlText w:val="o"/>
      <w:lvlJc w:val="left"/>
      <w:pPr>
        <w:ind w:left="5257" w:hanging="360"/>
      </w:pPr>
      <w:rPr>
        <w:rFonts w:ascii="Courier New" w:hAnsi="Courier New" w:cs="Courier New" w:hint="default"/>
      </w:rPr>
    </w:lvl>
    <w:lvl w:ilvl="8" w:tplc="04090005" w:tentative="1">
      <w:start w:val="1"/>
      <w:numFmt w:val="bullet"/>
      <w:lvlText w:val=""/>
      <w:lvlJc w:val="left"/>
      <w:pPr>
        <w:ind w:left="5977" w:hanging="360"/>
      </w:pPr>
      <w:rPr>
        <w:rFonts w:ascii="Wingdings" w:hAnsi="Wingdings" w:hint="default"/>
      </w:rPr>
    </w:lvl>
  </w:abstractNum>
  <w:abstractNum w:abstractNumId="3">
    <w:nsid w:val="22AD0924"/>
    <w:multiLevelType w:val="multilevel"/>
    <w:tmpl w:val="F3268644"/>
    <w:lvl w:ilvl="0">
      <w:start w:val="1"/>
      <w:numFmt w:val="decimal"/>
      <w:lvlText w:val="%1."/>
      <w:lvlJc w:val="left"/>
      <w:pPr>
        <w:ind w:left="360" w:hanging="360"/>
      </w:pPr>
      <w:rPr>
        <w:rFonts w:hint="default"/>
        <w:b/>
        <w:bCs/>
        <w:strike w:val="0"/>
      </w:rPr>
    </w:lvl>
    <w:lvl w:ilvl="1">
      <w:start w:val="1"/>
      <w:numFmt w:val="decimal"/>
      <w:pStyle w:val="Style1"/>
      <w:lvlText w:val="%1.%2."/>
      <w:lvlJc w:val="left"/>
      <w:pPr>
        <w:ind w:left="792" w:hanging="432"/>
      </w:pPr>
      <w:rPr>
        <w:b/>
        <w:bCs/>
        <w:strike w:val="0"/>
        <w:color w:val="008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CB0DA4"/>
    <w:multiLevelType w:val="hybridMultilevel"/>
    <w:tmpl w:val="50F0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73576"/>
    <w:multiLevelType w:val="hybridMultilevel"/>
    <w:tmpl w:val="0F06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37936"/>
    <w:multiLevelType w:val="hybridMultilevel"/>
    <w:tmpl w:val="7A48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000F1"/>
    <w:multiLevelType w:val="hybridMultilevel"/>
    <w:tmpl w:val="A4FE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80508"/>
    <w:multiLevelType w:val="hybridMultilevel"/>
    <w:tmpl w:val="FC0E71F6"/>
    <w:lvl w:ilvl="0" w:tplc="4E9073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C4FF4"/>
    <w:multiLevelType w:val="hybridMultilevel"/>
    <w:tmpl w:val="D14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2360B"/>
    <w:multiLevelType w:val="hybridMultilevel"/>
    <w:tmpl w:val="9034BB74"/>
    <w:lvl w:ilvl="0" w:tplc="8A22A416">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nsid w:val="6A14511B"/>
    <w:multiLevelType w:val="hybridMultilevel"/>
    <w:tmpl w:val="679E7A60"/>
    <w:lvl w:ilvl="0" w:tplc="19D8F4E4">
      <w:start w:val="3"/>
      <w:numFmt w:val="decimal"/>
      <w:lvlText w:val="%1."/>
      <w:lvlJc w:val="left"/>
      <w:pPr>
        <w:ind w:left="720" w:hanging="360"/>
      </w:pPr>
      <w:rPr>
        <w:rFonts w:ascii="Arial Narrow" w:hAnsi="Arial Narrow" w:cs="David" w:hint="default"/>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82CFA"/>
    <w:multiLevelType w:val="hybridMultilevel"/>
    <w:tmpl w:val="CACC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8"/>
  </w:num>
  <w:num w:numId="6">
    <w:abstractNumId w:val="4"/>
  </w:num>
  <w:num w:numId="7">
    <w:abstractNumId w:val="12"/>
  </w:num>
  <w:num w:numId="8">
    <w:abstractNumId w:val="11"/>
  </w:num>
  <w:num w:numId="9">
    <w:abstractNumId w:val="0"/>
  </w:num>
  <w:num w:numId="10">
    <w:abstractNumId w:val="1"/>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175E41"/>
    <w:rsid w:val="000010B2"/>
    <w:rsid w:val="00107C0D"/>
    <w:rsid w:val="0013658B"/>
    <w:rsid w:val="00146BD8"/>
    <w:rsid w:val="00175E41"/>
    <w:rsid w:val="00181C64"/>
    <w:rsid w:val="001913FF"/>
    <w:rsid w:val="00290639"/>
    <w:rsid w:val="00415565"/>
    <w:rsid w:val="004B427D"/>
    <w:rsid w:val="005E32E7"/>
    <w:rsid w:val="006442B7"/>
    <w:rsid w:val="0067054E"/>
    <w:rsid w:val="006E3BAD"/>
    <w:rsid w:val="00703615"/>
    <w:rsid w:val="007457DA"/>
    <w:rsid w:val="00792D39"/>
    <w:rsid w:val="007B2310"/>
    <w:rsid w:val="007E17FA"/>
    <w:rsid w:val="0097515F"/>
    <w:rsid w:val="0099231D"/>
    <w:rsid w:val="009B623E"/>
    <w:rsid w:val="00A34874"/>
    <w:rsid w:val="00A455A3"/>
    <w:rsid w:val="00B3505A"/>
    <w:rsid w:val="00BD4545"/>
    <w:rsid w:val="00C530FB"/>
    <w:rsid w:val="00C7502F"/>
    <w:rsid w:val="00D61B19"/>
    <w:rsid w:val="00DE3ACD"/>
    <w:rsid w:val="00EA75EB"/>
    <w:rsid w:val="00EB5BFE"/>
    <w:rsid w:val="00F577D7"/>
    <w:rsid w:val="00F775AD"/>
    <w:rsid w:val="00FD532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41"/>
    <w:pPr>
      <w:bidi/>
      <w:ind w:right="-567"/>
    </w:pPr>
    <w:rPr>
      <w:rFonts w:ascii="Calibri" w:eastAsia="Calibri" w:hAnsi="Calibri" w:cs="Arial"/>
    </w:rPr>
  </w:style>
  <w:style w:type="paragraph" w:styleId="2">
    <w:name w:val="heading 2"/>
    <w:basedOn w:val="a"/>
    <w:next w:val="a"/>
    <w:link w:val="20"/>
    <w:uiPriority w:val="9"/>
    <w:semiHidden/>
    <w:unhideWhenUsed/>
    <w:qFormat/>
    <w:rsid w:val="00792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75E41"/>
    <w:pPr>
      <w:keepLines/>
      <w:outlineLvl w:val="3"/>
    </w:pPr>
    <w:rPr>
      <w:rFonts w:cs="David"/>
      <w:b/>
      <w:bCs/>
      <w:i/>
      <w:iCs/>
      <w:color w:val="31849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rsid w:val="00175E41"/>
    <w:rPr>
      <w:rFonts w:ascii="Calibri" w:eastAsia="Calibri" w:hAnsi="Calibri" w:cs="David"/>
      <w:b/>
      <w:bCs/>
      <w:i/>
      <w:iCs/>
      <w:color w:val="31849B"/>
      <w:sz w:val="28"/>
      <w:szCs w:val="28"/>
    </w:rPr>
  </w:style>
  <w:style w:type="paragraph" w:customStyle="1" w:styleId="Normal1">
    <w:name w:val="Normal1"/>
    <w:basedOn w:val="a"/>
    <w:rsid w:val="00175E41"/>
    <w:pPr>
      <w:spacing w:after="0" w:line="240" w:lineRule="auto"/>
      <w:ind w:right="0"/>
      <w:jc w:val="both"/>
    </w:pPr>
    <w:rPr>
      <w:rFonts w:ascii="Times New Roman" w:eastAsia="Times New Roman" w:hAnsi="Times New Roman" w:cs="Miriam"/>
      <w:sz w:val="26"/>
      <w:szCs w:val="26"/>
      <w:lang w:eastAsia="he-IL"/>
    </w:rPr>
  </w:style>
  <w:style w:type="paragraph" w:customStyle="1" w:styleId="14-">
    <w:name w:val="14-דוד"/>
    <w:rsid w:val="00C7502F"/>
    <w:pPr>
      <w:spacing w:after="0" w:line="240" w:lineRule="auto"/>
    </w:pPr>
    <w:rPr>
      <w:rFonts w:ascii="Times New Roman" w:eastAsia="Times New Roman" w:hAnsi="Naskh Traditional MT" w:cs="QDavid"/>
      <w:snapToGrid w:val="0"/>
      <w:sz w:val="28"/>
      <w:szCs w:val="28"/>
      <w:lang w:eastAsia="he-IL"/>
    </w:rPr>
  </w:style>
  <w:style w:type="paragraph" w:styleId="a3">
    <w:name w:val="Balloon Text"/>
    <w:basedOn w:val="a"/>
    <w:link w:val="a4"/>
    <w:uiPriority w:val="99"/>
    <w:semiHidden/>
    <w:unhideWhenUsed/>
    <w:rsid w:val="0067054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7054E"/>
    <w:rPr>
      <w:rFonts w:ascii="Tahoma" w:eastAsia="Calibri" w:hAnsi="Tahoma" w:cs="Tahoma"/>
      <w:sz w:val="16"/>
      <w:szCs w:val="16"/>
    </w:rPr>
  </w:style>
  <w:style w:type="paragraph" w:customStyle="1" w:styleId="Char">
    <w:name w:val="תו תו Char"/>
    <w:basedOn w:val="a"/>
    <w:rsid w:val="00BD4545"/>
    <w:pPr>
      <w:widowControl w:val="0"/>
      <w:bidi w:val="0"/>
      <w:adjustRightInd w:val="0"/>
      <w:spacing w:after="160" w:line="240" w:lineRule="exact"/>
      <w:ind w:right="0"/>
      <w:jc w:val="both"/>
      <w:textAlignment w:val="baseline"/>
    </w:pPr>
    <w:rPr>
      <w:rFonts w:ascii="Verdana" w:eastAsia="Times New Roman" w:hAnsi="Verdana" w:cs="Verdana"/>
      <w:sz w:val="20"/>
      <w:szCs w:val="20"/>
      <w:lang w:bidi="ar-SA"/>
    </w:rPr>
  </w:style>
  <w:style w:type="character" w:customStyle="1" w:styleId="20">
    <w:name w:val="כותרת 2 תו"/>
    <w:basedOn w:val="a0"/>
    <w:link w:val="2"/>
    <w:uiPriority w:val="9"/>
    <w:semiHidden/>
    <w:rsid w:val="00792D39"/>
    <w:rPr>
      <w:rFonts w:asciiTheme="majorHAnsi" w:eastAsiaTheme="majorEastAsia" w:hAnsiTheme="majorHAnsi" w:cstheme="majorBidi"/>
      <w:b/>
      <w:bCs/>
      <w:color w:val="4F81BD" w:themeColor="accent1"/>
      <w:sz w:val="26"/>
      <w:szCs w:val="26"/>
    </w:rPr>
  </w:style>
  <w:style w:type="paragraph" w:customStyle="1" w:styleId="Style1">
    <w:name w:val="Style1"/>
    <w:basedOn w:val="a5"/>
    <w:link w:val="Style1Char"/>
    <w:qFormat/>
    <w:rsid w:val="00792D39"/>
    <w:pPr>
      <w:numPr>
        <w:ilvl w:val="1"/>
        <w:numId w:val="13"/>
      </w:numPr>
      <w:bidi w:val="0"/>
      <w:spacing w:after="0" w:line="240" w:lineRule="auto"/>
      <w:ind w:right="0"/>
      <w:contextualSpacing w:val="0"/>
    </w:pPr>
    <w:rPr>
      <w:rFonts w:ascii="Arial" w:eastAsia="Times New Roman" w:hAnsi="Arial"/>
      <w:b/>
      <w:color w:val="008000"/>
      <w:sz w:val="24"/>
      <w:szCs w:val="24"/>
    </w:rPr>
  </w:style>
  <w:style w:type="character" w:customStyle="1" w:styleId="Style1Char">
    <w:name w:val="Style1 Char"/>
    <w:basedOn w:val="a0"/>
    <w:link w:val="Style1"/>
    <w:rsid w:val="00792D39"/>
    <w:rPr>
      <w:rFonts w:ascii="Arial" w:eastAsia="Times New Roman" w:hAnsi="Arial" w:cs="Arial"/>
      <w:b/>
      <w:color w:val="008000"/>
      <w:sz w:val="24"/>
      <w:szCs w:val="24"/>
    </w:rPr>
  </w:style>
  <w:style w:type="paragraph" w:styleId="a5">
    <w:name w:val="List Paragraph"/>
    <w:basedOn w:val="a"/>
    <w:uiPriority w:val="34"/>
    <w:qFormat/>
    <w:rsid w:val="00792D39"/>
    <w:pPr>
      <w:ind w:left="720"/>
      <w:contextualSpacing/>
    </w:pPr>
  </w:style>
  <w:style w:type="character" w:customStyle="1" w:styleId="DeltaViewInsertion">
    <w:name w:val="DeltaView Insertion"/>
    <w:rsid w:val="00415565"/>
    <w:rPr>
      <w:b/>
      <w:bCs/>
      <w:i/>
      <w:iCs/>
      <w:color w:val="FF0000"/>
      <w:spacing w:val="0"/>
    </w:rPr>
  </w:style>
  <w:style w:type="paragraph" w:customStyle="1" w:styleId="listssp">
    <w:name w:val="list:ssp"/>
    <w:basedOn w:val="a"/>
    <w:rsid w:val="004B427D"/>
    <w:pPr>
      <w:bidi w:val="0"/>
      <w:spacing w:after="0" w:line="240" w:lineRule="auto"/>
      <w:ind w:right="0"/>
    </w:pPr>
    <w:rPr>
      <w:rFonts w:ascii="Times New Roman" w:eastAsia="Times New Roman" w:hAnsi="Times New Roman" w:cs="Miriam"/>
      <w:sz w:val="24"/>
      <w:szCs w:val="24"/>
      <w:lang w:val="en-GB"/>
    </w:rPr>
  </w:style>
  <w:style w:type="paragraph" w:customStyle="1" w:styleId="CM47">
    <w:name w:val="CM47"/>
    <w:basedOn w:val="a"/>
    <w:next w:val="a"/>
    <w:rsid w:val="0097515F"/>
    <w:pPr>
      <w:autoSpaceDE w:val="0"/>
      <w:autoSpaceDN w:val="0"/>
      <w:bidi w:val="0"/>
      <w:adjustRightInd w:val="0"/>
      <w:spacing w:after="0" w:line="240" w:lineRule="auto"/>
      <w:ind w:right="0"/>
    </w:pPr>
    <w:rPr>
      <w:rFonts w:ascii="Times New Roman" w:eastAsia="Times New Roman" w:hAnsi="Times New Roman" w:cs="Times New Roman"/>
      <w:sz w:val="24"/>
      <w:szCs w:val="24"/>
    </w:rPr>
  </w:style>
  <w:style w:type="paragraph" w:customStyle="1" w:styleId="CM27">
    <w:name w:val="CM27"/>
    <w:basedOn w:val="a"/>
    <w:next w:val="a"/>
    <w:rsid w:val="0097515F"/>
    <w:pPr>
      <w:autoSpaceDE w:val="0"/>
      <w:autoSpaceDN w:val="0"/>
      <w:bidi w:val="0"/>
      <w:adjustRightInd w:val="0"/>
      <w:spacing w:after="0" w:line="276" w:lineRule="atLeast"/>
      <w:ind w:right="0"/>
    </w:pPr>
    <w:rPr>
      <w:rFonts w:ascii="Times New Roman" w:eastAsia="Times New Roman" w:hAnsi="Times New Roman" w:cs="Times New Roman"/>
      <w:sz w:val="24"/>
      <w:szCs w:val="24"/>
    </w:rPr>
  </w:style>
  <w:style w:type="paragraph" w:styleId="a6">
    <w:name w:val="List Bullet"/>
    <w:basedOn w:val="a"/>
    <w:autoRedefine/>
    <w:rsid w:val="0097515F"/>
    <w:pPr>
      <w:bidi w:val="0"/>
      <w:spacing w:after="0" w:line="240" w:lineRule="auto"/>
      <w:ind w:right="0"/>
    </w:pPr>
    <w:rPr>
      <w:rFonts w:ascii="Times New Roman" w:eastAsia="Times New Roman" w:hAnsi="Times New Roman" w:cs="Times New Roman"/>
      <w:spacing w:val="-2"/>
      <w:lang w:bidi="ar-SA"/>
    </w:rPr>
  </w:style>
  <w:style w:type="paragraph" w:styleId="a7">
    <w:name w:val="header"/>
    <w:basedOn w:val="a"/>
    <w:link w:val="a8"/>
    <w:uiPriority w:val="99"/>
    <w:unhideWhenUsed/>
    <w:rsid w:val="009B623E"/>
    <w:pPr>
      <w:tabs>
        <w:tab w:val="center" w:pos="4153"/>
        <w:tab w:val="right" w:pos="8306"/>
      </w:tabs>
      <w:spacing w:after="0" w:line="240" w:lineRule="auto"/>
    </w:pPr>
  </w:style>
  <w:style w:type="character" w:customStyle="1" w:styleId="a8">
    <w:name w:val="כותרת עליונה תו"/>
    <w:basedOn w:val="a0"/>
    <w:link w:val="a7"/>
    <w:uiPriority w:val="99"/>
    <w:rsid w:val="009B623E"/>
    <w:rPr>
      <w:rFonts w:ascii="Calibri" w:eastAsia="Calibri" w:hAnsi="Calibri" w:cs="Arial"/>
    </w:rPr>
  </w:style>
  <w:style w:type="paragraph" w:styleId="a9">
    <w:name w:val="footer"/>
    <w:basedOn w:val="a"/>
    <w:link w:val="aa"/>
    <w:uiPriority w:val="99"/>
    <w:unhideWhenUsed/>
    <w:rsid w:val="009B623E"/>
    <w:pPr>
      <w:tabs>
        <w:tab w:val="center" w:pos="4153"/>
        <w:tab w:val="right" w:pos="8306"/>
      </w:tabs>
      <w:spacing w:after="0" w:line="240" w:lineRule="auto"/>
    </w:pPr>
  </w:style>
  <w:style w:type="character" w:customStyle="1" w:styleId="aa">
    <w:name w:val="כותרת תחתונה תו"/>
    <w:basedOn w:val="a0"/>
    <w:link w:val="a9"/>
    <w:uiPriority w:val="99"/>
    <w:rsid w:val="009B623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41"/>
    <w:pPr>
      <w:bidi/>
      <w:ind w:right="-567"/>
    </w:pPr>
    <w:rPr>
      <w:rFonts w:ascii="Calibri" w:eastAsia="Calibri" w:hAnsi="Calibri" w:cs="Arial"/>
    </w:rPr>
  </w:style>
  <w:style w:type="paragraph" w:styleId="Heading2">
    <w:name w:val="heading 2"/>
    <w:basedOn w:val="Normal"/>
    <w:next w:val="Normal"/>
    <w:link w:val="Heading2Char"/>
    <w:uiPriority w:val="9"/>
    <w:semiHidden/>
    <w:unhideWhenUsed/>
    <w:qFormat/>
    <w:rsid w:val="00792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175E41"/>
    <w:pPr>
      <w:keepLines/>
      <w:outlineLvl w:val="3"/>
    </w:pPr>
    <w:rPr>
      <w:rFonts w:cs="David"/>
      <w:b/>
      <w:bCs/>
      <w:i/>
      <w:iCs/>
      <w:color w:val="31849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5E41"/>
    <w:rPr>
      <w:rFonts w:ascii="Calibri" w:eastAsia="Calibri" w:hAnsi="Calibri" w:cs="David"/>
      <w:b/>
      <w:bCs/>
      <w:i/>
      <w:iCs/>
      <w:color w:val="31849B"/>
      <w:sz w:val="28"/>
      <w:szCs w:val="28"/>
    </w:rPr>
  </w:style>
  <w:style w:type="paragraph" w:customStyle="1" w:styleId="Normal1">
    <w:name w:val="Normal1"/>
    <w:basedOn w:val="Normal"/>
    <w:rsid w:val="00175E41"/>
    <w:pPr>
      <w:spacing w:after="0" w:line="240" w:lineRule="auto"/>
      <w:ind w:right="0"/>
      <w:jc w:val="both"/>
    </w:pPr>
    <w:rPr>
      <w:rFonts w:ascii="Times New Roman" w:eastAsia="Times New Roman" w:hAnsi="Times New Roman" w:cs="Miriam"/>
      <w:sz w:val="26"/>
      <w:szCs w:val="26"/>
      <w:lang w:eastAsia="he-IL"/>
    </w:rPr>
  </w:style>
  <w:style w:type="paragraph" w:customStyle="1" w:styleId="14-">
    <w:name w:val="14-דוד"/>
    <w:rsid w:val="00C7502F"/>
    <w:pPr>
      <w:spacing w:after="0" w:line="240" w:lineRule="auto"/>
    </w:pPr>
    <w:rPr>
      <w:rFonts w:ascii="Times New Roman" w:eastAsia="Times New Roman" w:hAnsi="Naskh Traditional MT" w:cs="QDavid"/>
      <w:snapToGrid w:val="0"/>
      <w:sz w:val="28"/>
      <w:szCs w:val="28"/>
      <w:lang w:eastAsia="he-IL"/>
    </w:rPr>
  </w:style>
  <w:style w:type="paragraph" w:styleId="BalloonText">
    <w:name w:val="Balloon Text"/>
    <w:basedOn w:val="Normal"/>
    <w:link w:val="BalloonTextChar"/>
    <w:uiPriority w:val="99"/>
    <w:semiHidden/>
    <w:unhideWhenUsed/>
    <w:rsid w:val="00670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4E"/>
    <w:rPr>
      <w:rFonts w:ascii="Tahoma" w:eastAsia="Calibri" w:hAnsi="Tahoma" w:cs="Tahoma"/>
      <w:sz w:val="16"/>
      <w:szCs w:val="16"/>
    </w:rPr>
  </w:style>
  <w:style w:type="paragraph" w:customStyle="1" w:styleId="Char">
    <w:name w:val="תו תו Char"/>
    <w:basedOn w:val="Normal"/>
    <w:rsid w:val="00BD4545"/>
    <w:pPr>
      <w:widowControl w:val="0"/>
      <w:bidi w:val="0"/>
      <w:adjustRightInd w:val="0"/>
      <w:spacing w:after="160" w:line="240" w:lineRule="exact"/>
      <w:ind w:right="0"/>
      <w:jc w:val="both"/>
      <w:textAlignment w:val="baseline"/>
    </w:pPr>
    <w:rPr>
      <w:rFonts w:ascii="Verdana" w:eastAsia="Times New Roman" w:hAnsi="Verdana" w:cs="Verdana"/>
      <w:sz w:val="20"/>
      <w:szCs w:val="20"/>
      <w:lang w:bidi="ar-SA"/>
    </w:rPr>
  </w:style>
  <w:style w:type="character" w:customStyle="1" w:styleId="Heading2Char">
    <w:name w:val="Heading 2 Char"/>
    <w:basedOn w:val="DefaultParagraphFont"/>
    <w:link w:val="Heading2"/>
    <w:uiPriority w:val="9"/>
    <w:semiHidden/>
    <w:rsid w:val="00792D39"/>
    <w:rPr>
      <w:rFonts w:asciiTheme="majorHAnsi" w:eastAsiaTheme="majorEastAsia" w:hAnsiTheme="majorHAnsi" w:cstheme="majorBidi"/>
      <w:b/>
      <w:bCs/>
      <w:color w:val="4F81BD" w:themeColor="accent1"/>
      <w:sz w:val="26"/>
      <w:szCs w:val="26"/>
    </w:rPr>
  </w:style>
  <w:style w:type="paragraph" w:customStyle="1" w:styleId="Style1">
    <w:name w:val="Style1"/>
    <w:basedOn w:val="ListParagraph"/>
    <w:link w:val="Style1Char"/>
    <w:qFormat/>
    <w:rsid w:val="00792D39"/>
    <w:pPr>
      <w:numPr>
        <w:ilvl w:val="1"/>
        <w:numId w:val="13"/>
      </w:numPr>
      <w:bidi w:val="0"/>
      <w:spacing w:after="0" w:line="240" w:lineRule="auto"/>
      <w:ind w:right="0"/>
      <w:contextualSpacing w:val="0"/>
    </w:pPr>
    <w:rPr>
      <w:rFonts w:ascii="Arial" w:eastAsia="Times New Roman" w:hAnsi="Arial"/>
      <w:b/>
      <w:color w:val="008000"/>
      <w:sz w:val="24"/>
      <w:szCs w:val="24"/>
    </w:rPr>
  </w:style>
  <w:style w:type="character" w:customStyle="1" w:styleId="Style1Char">
    <w:name w:val="Style1 Char"/>
    <w:basedOn w:val="DefaultParagraphFont"/>
    <w:link w:val="Style1"/>
    <w:rsid w:val="00792D39"/>
    <w:rPr>
      <w:rFonts w:ascii="Arial" w:eastAsia="Times New Roman" w:hAnsi="Arial" w:cs="Arial"/>
      <w:b/>
      <w:color w:val="008000"/>
      <w:sz w:val="24"/>
      <w:szCs w:val="24"/>
    </w:rPr>
  </w:style>
  <w:style w:type="paragraph" w:styleId="ListParagraph">
    <w:name w:val="List Paragraph"/>
    <w:basedOn w:val="Normal"/>
    <w:uiPriority w:val="34"/>
    <w:qFormat/>
    <w:rsid w:val="00792D39"/>
    <w:pPr>
      <w:ind w:left="720"/>
      <w:contextualSpacing/>
    </w:pPr>
  </w:style>
  <w:style w:type="character" w:customStyle="1" w:styleId="DeltaViewInsertion">
    <w:name w:val="DeltaView Insertion"/>
    <w:rsid w:val="00415565"/>
    <w:rPr>
      <w:b/>
      <w:bCs/>
      <w:i/>
      <w:iCs/>
      <w:color w:val="FF0000"/>
      <w:spacing w:val="0"/>
    </w:rPr>
  </w:style>
  <w:style w:type="paragraph" w:customStyle="1" w:styleId="listssp">
    <w:name w:val="list:ssp"/>
    <w:basedOn w:val="Normal"/>
    <w:rsid w:val="004B427D"/>
    <w:pPr>
      <w:bidi w:val="0"/>
      <w:spacing w:after="0" w:line="240" w:lineRule="auto"/>
      <w:ind w:right="0"/>
    </w:pPr>
    <w:rPr>
      <w:rFonts w:ascii="Times New Roman" w:eastAsia="Times New Roman" w:hAnsi="Times New Roman" w:cs="Miriam"/>
      <w:sz w:val="24"/>
      <w:szCs w:val="24"/>
      <w:lang w:val="en-GB"/>
    </w:rPr>
  </w:style>
  <w:style w:type="paragraph" w:customStyle="1" w:styleId="CM47">
    <w:name w:val="CM47"/>
    <w:basedOn w:val="Normal"/>
    <w:next w:val="Normal"/>
    <w:rsid w:val="0097515F"/>
    <w:pPr>
      <w:autoSpaceDE w:val="0"/>
      <w:autoSpaceDN w:val="0"/>
      <w:bidi w:val="0"/>
      <w:adjustRightInd w:val="0"/>
      <w:spacing w:after="0" w:line="240" w:lineRule="auto"/>
      <w:ind w:right="0"/>
    </w:pPr>
    <w:rPr>
      <w:rFonts w:ascii="Times New Roman" w:eastAsia="Times New Roman" w:hAnsi="Times New Roman" w:cs="Times New Roman"/>
      <w:sz w:val="24"/>
      <w:szCs w:val="24"/>
    </w:rPr>
  </w:style>
  <w:style w:type="paragraph" w:customStyle="1" w:styleId="CM27">
    <w:name w:val="CM27"/>
    <w:basedOn w:val="Normal"/>
    <w:next w:val="Normal"/>
    <w:rsid w:val="0097515F"/>
    <w:pPr>
      <w:autoSpaceDE w:val="0"/>
      <w:autoSpaceDN w:val="0"/>
      <w:bidi w:val="0"/>
      <w:adjustRightInd w:val="0"/>
      <w:spacing w:after="0" w:line="276" w:lineRule="atLeast"/>
      <w:ind w:right="0"/>
    </w:pPr>
    <w:rPr>
      <w:rFonts w:ascii="Times New Roman" w:eastAsia="Times New Roman" w:hAnsi="Times New Roman" w:cs="Times New Roman"/>
      <w:sz w:val="24"/>
      <w:szCs w:val="24"/>
    </w:rPr>
  </w:style>
  <w:style w:type="paragraph" w:styleId="ListBullet">
    <w:name w:val="List Bullet"/>
    <w:basedOn w:val="Normal"/>
    <w:autoRedefine/>
    <w:rsid w:val="0097515F"/>
    <w:pPr>
      <w:bidi w:val="0"/>
      <w:spacing w:after="0" w:line="240" w:lineRule="auto"/>
      <w:ind w:right="0"/>
    </w:pPr>
    <w:rPr>
      <w:rFonts w:ascii="Times New Roman" w:eastAsia="Times New Roman" w:hAnsi="Times New Roman" w:cs="Times New Roman"/>
      <w:spacing w:val="-2"/>
      <w:lang w:bidi="ar-SA"/>
    </w:rPr>
  </w:style>
  <w:style w:type="paragraph" w:styleId="Header">
    <w:name w:val="header"/>
    <w:basedOn w:val="Normal"/>
    <w:link w:val="HeaderChar"/>
    <w:uiPriority w:val="99"/>
    <w:unhideWhenUsed/>
    <w:rsid w:val="009B62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23E"/>
    <w:rPr>
      <w:rFonts w:ascii="Calibri" w:eastAsia="Calibri" w:hAnsi="Calibri" w:cs="Arial"/>
    </w:rPr>
  </w:style>
  <w:style w:type="paragraph" w:styleId="Footer">
    <w:name w:val="footer"/>
    <w:basedOn w:val="Normal"/>
    <w:link w:val="FooterChar"/>
    <w:uiPriority w:val="99"/>
    <w:unhideWhenUsed/>
    <w:rsid w:val="009B62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623E"/>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110858099">
      <w:bodyDiv w:val="1"/>
      <w:marLeft w:val="0"/>
      <w:marRight w:val="0"/>
      <w:marTop w:val="0"/>
      <w:marBottom w:val="0"/>
      <w:divBdr>
        <w:top w:val="none" w:sz="0" w:space="0" w:color="auto"/>
        <w:left w:val="none" w:sz="0" w:space="0" w:color="auto"/>
        <w:bottom w:val="none" w:sz="0" w:space="0" w:color="auto"/>
        <w:right w:val="none" w:sz="0" w:space="0" w:color="auto"/>
      </w:divBdr>
    </w:div>
    <w:div w:id="12858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toNumber xmlns="43f5c83f-d7ad-4276-a107-8019a824ecd5">165296016</AutoNumber>
    <REQUESTNUMBER xmlns="43f5c83f-d7ad-4276-a107-8019a824ecd5">81472</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30300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טופס החמרות בעלון לרופא_יולי_2013</UCOMMENTS>
    <OWNER xmlns="43f5c83f-d7ad-4276-a107-8019a824ecd5">1034</OWNER>
    <ISPUBLIC xmlns="43f5c83f-d7ad-4276-a107-8019a824ecd5">1</ISPUBLIC>
    <SDHebDate xmlns="43f5c83f-d7ad-4276-a107-8019a824ecd5">כ"ט בתמוז, התשע"ג</SDHebDate>
    <SDOriginalID xmlns="43f5c83f-d7ad-4276-a107-8019a824ecd5" xsi:nil="true"/>
    <SDSignersLogins xmlns="43f5c83f-d7ad-4276-a107-8019a824ecd5" xsi:nil="true"/>
    <DOCUMENTTYPE xmlns="43f5c83f-d7ad-4276-a107-8019a824ecd5">70</DOCUMENTTYPE>
    <LANGUAGE xmlns="43f5c83f-d7ad-4276-a107-8019a824ecd5">_</LANGUAGE>
    <FILEEXT xmlns="43f5c83f-d7ad-4276-a107-8019a824ecd5">docx</FILEEXT>
    <SAPNAME xmlns="43f5c83f-d7ad-4276-a107-8019a824ecd5">291</SAPNAME>
    <SDDocumentSource xmlns="43f5c83f-d7ad-4276-a107-8019a824ecd5" xsi:nil="true"/>
    <SDImportance xmlns="43f5c83f-d7ad-4276-a107-8019a824ecd5" xsi:nil="true"/>
    <REGISTRATIONNUMBER xmlns="43f5c83f-d7ad-4276-a107-8019a824ecd5">3077200</REGISTRATIONNUMBER>
    <SDCategories xmlns="43f5c83f-d7ad-4276-a107-8019a824ecd5" xsi:nil="true"/>
    <SDDocDate xmlns="43f5c83f-d7ad-4276-a107-8019a824ecd5">2013-07-07T05:00:01+00:00</SDDocDate>
    <DRAGOBJID xmlns="43f5c83f-d7ad-4276-a107-8019a824ecd5">3077200</DRAGOBJID>
    <mossuploaddate xmlns="43f5c83f-d7ad-4276-a107-8019a824ecd5">2013-07-07 09:21:33</mossuploaddate>
    <SDExternalEntityConnected xmlns="43f5c83f-d7ad-4276-a107-8019a824ecd5" xsi:nil="true"/>
  </documentManagement>
</p:properties>
</file>

<file path=customXml/itemProps1.xml><?xml version="1.0" encoding="utf-8"?>
<ds:datastoreItem xmlns:ds="http://schemas.openxmlformats.org/officeDocument/2006/customXml" ds:itemID="{5C931C91-8F47-4566-9E10-C56216B110C7}"/>
</file>

<file path=customXml/itemProps2.xml><?xml version="1.0" encoding="utf-8"?>
<ds:datastoreItem xmlns:ds="http://schemas.openxmlformats.org/officeDocument/2006/customXml" ds:itemID="{CF01C3BA-0BB8-47D0-9461-304B1E8BAB4F}"/>
</file>

<file path=customXml/itemProps3.xml><?xml version="1.0" encoding="utf-8"?>
<ds:datastoreItem xmlns:ds="http://schemas.openxmlformats.org/officeDocument/2006/customXml" ds:itemID="{A68B39A9-6327-49CF-B219-15896C6BE250}"/>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2948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Perrigo Company</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ControlocIV_worsenings_30772</dc:title>
  <dc:creator>storogofarm</dc:creator>
  <cp:lastModifiedBy>victoriya.finkel</cp:lastModifiedBy>
  <cp:revision>6</cp:revision>
  <dcterms:created xsi:type="dcterms:W3CDTF">2013-04-25T05:27:00Z</dcterms:created>
  <dcterms:modified xsi:type="dcterms:W3CDTF">2013-07-07T06:17:00Z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