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BF" w:rsidRPr="00696802" w:rsidRDefault="007063BF" w:rsidP="000C2846">
      <w:pPr>
        <w:pStyle w:val="1"/>
        <w:ind w:left="-285" w:right="-142" w:firstLine="285"/>
        <w:rPr>
          <w:rFonts w:cs="David Transparent"/>
          <w:color w:val="C0C0C0"/>
          <w:u w:val="none"/>
          <w:shd w:val="clear" w:color="auto" w:fill="000000"/>
          <w:rtl/>
        </w:rPr>
      </w:pPr>
      <w:r w:rsidRPr="00696802">
        <w:rPr>
          <w:rFonts w:cs="David Transparent" w:hint="cs"/>
          <w:color w:val="C0C0C0"/>
          <w:u w:val="none"/>
          <w:shd w:val="clear" w:color="auto" w:fill="000000"/>
          <w:rtl/>
        </w:rPr>
        <w:t xml:space="preserve">הודעה על </w:t>
      </w:r>
      <w:r w:rsidRPr="00696802">
        <w:rPr>
          <w:rFonts w:cs="David Transparent"/>
          <w:color w:val="C0C0C0"/>
          <w:u w:val="none"/>
          <w:shd w:val="clear" w:color="auto" w:fill="000000"/>
          <w:rtl/>
        </w:rPr>
        <w:t>החמרה  (</w:t>
      </w:r>
      <w:r w:rsidRPr="00696802">
        <w:rPr>
          <w:rFonts w:cs="David Transparent" w:hint="cs"/>
          <w:color w:val="C0C0C0"/>
          <w:u w:val="none"/>
          <w:shd w:val="clear" w:color="auto" w:fill="000000"/>
          <w:rtl/>
        </w:rPr>
        <w:t xml:space="preserve"> מידע </w:t>
      </w:r>
      <w:r w:rsidRPr="00696802">
        <w:rPr>
          <w:rFonts w:cs="David Transparent"/>
          <w:color w:val="C0C0C0"/>
          <w:u w:val="none"/>
          <w:shd w:val="clear" w:color="auto" w:fill="000000"/>
          <w:rtl/>
        </w:rPr>
        <w:t xml:space="preserve">בטיחות)  </w:t>
      </w:r>
    </w:p>
    <w:p w:rsidR="007063BF" w:rsidRDefault="007063BF">
      <w:pPr>
        <w:rPr>
          <w:b/>
          <w:bCs/>
          <w:rtl/>
        </w:rPr>
      </w:pPr>
    </w:p>
    <w:p w:rsidR="007063BF" w:rsidRPr="00FC10E6" w:rsidRDefault="007063BF" w:rsidP="00EB1B6E">
      <w:pPr>
        <w:spacing w:line="360" w:lineRule="auto"/>
        <w:rPr>
          <w:rFonts w:cs="David Transparent"/>
          <w:b/>
          <w:bCs/>
          <w:rtl/>
        </w:rPr>
      </w:pPr>
      <w:r w:rsidRPr="00FC10E6">
        <w:rPr>
          <w:rFonts w:cs="David Transparent" w:hint="cs"/>
          <w:b/>
          <w:bCs/>
          <w:rtl/>
        </w:rPr>
        <w:t>תאריך</w:t>
      </w:r>
      <w:r w:rsidR="00EB1B6E">
        <w:rPr>
          <w:rFonts w:cs="David Transparent"/>
          <w:b/>
          <w:bCs/>
          <w:u w:val="single"/>
        </w:rPr>
        <w:t>09</w:t>
      </w:r>
      <w:r w:rsidR="002D6E81" w:rsidRPr="00696802">
        <w:rPr>
          <w:rFonts w:ascii="Calibri" w:hAnsi="Calibri" w:cs="David Transparent"/>
          <w:b/>
          <w:bCs/>
          <w:u w:val="single"/>
        </w:rPr>
        <w:t>.</w:t>
      </w:r>
      <w:r w:rsidR="00EB1B6E">
        <w:rPr>
          <w:rFonts w:ascii="Calibri" w:hAnsi="Calibri" w:cs="David Transparent"/>
          <w:b/>
          <w:bCs/>
          <w:u w:val="single"/>
        </w:rPr>
        <w:t>05</w:t>
      </w:r>
      <w:r w:rsidR="002D6E81" w:rsidRPr="00696802">
        <w:rPr>
          <w:rFonts w:ascii="Calibri" w:hAnsi="Calibri" w:cs="David Transparent"/>
          <w:b/>
          <w:bCs/>
          <w:u w:val="single"/>
        </w:rPr>
        <w:t>.201</w:t>
      </w:r>
      <w:r w:rsidR="00EB1B6E">
        <w:rPr>
          <w:rFonts w:ascii="Calibri" w:hAnsi="Calibri" w:cs="David Transparent"/>
          <w:b/>
          <w:bCs/>
          <w:u w:val="single"/>
        </w:rPr>
        <w:t>3</w:t>
      </w:r>
      <w:r w:rsidR="002D6E81" w:rsidRPr="00696802">
        <w:rPr>
          <w:rFonts w:cs="David Transparent"/>
          <w:b/>
          <w:bCs/>
          <w:u w:val="single"/>
        </w:rPr>
        <w:t xml:space="preserve"> </w:t>
      </w:r>
      <w:r w:rsidR="00F90E5E" w:rsidRPr="00FC10E6">
        <w:rPr>
          <w:rFonts w:cs="David Transparent" w:hint="cs"/>
          <w:b/>
          <w:bCs/>
          <w:rtl/>
        </w:rPr>
        <w:tab/>
      </w:r>
    </w:p>
    <w:p w:rsidR="00D80D0B" w:rsidRDefault="007063BF" w:rsidP="000B4C68">
      <w:pPr>
        <w:spacing w:line="360" w:lineRule="auto"/>
        <w:rPr>
          <w:rFonts w:cs="David Transparent"/>
          <w:b/>
          <w:bCs/>
          <w:rtl/>
        </w:rPr>
      </w:pPr>
      <w:r w:rsidRPr="00FC10E6">
        <w:rPr>
          <w:rFonts w:cs="David Transparent" w:hint="cs"/>
          <w:b/>
          <w:bCs/>
          <w:rtl/>
        </w:rPr>
        <w:t>שם תכשיר</w:t>
      </w:r>
      <w:r w:rsidR="00EB1B6E">
        <w:rPr>
          <w:rFonts w:cs="David Transparent"/>
          <w:b/>
          <w:bCs/>
        </w:rPr>
        <w:t xml:space="preserve"> </w:t>
      </w:r>
      <w:r w:rsidR="00EB1B6E">
        <w:rPr>
          <w:rFonts w:cs="David Transparent" w:hint="cs"/>
          <w:b/>
          <w:bCs/>
          <w:rtl/>
        </w:rPr>
        <w:t xml:space="preserve">באנגלית </w:t>
      </w:r>
      <w:r w:rsidRPr="00FC10E6">
        <w:rPr>
          <w:rFonts w:cs="David Transparent" w:hint="cs"/>
          <w:b/>
          <w:bCs/>
          <w:rtl/>
        </w:rPr>
        <w:t xml:space="preserve"> </w:t>
      </w:r>
      <w:proofErr w:type="spellStart"/>
      <w:r w:rsidR="000B4C68" w:rsidRPr="007357D9">
        <w:rPr>
          <w:rFonts w:cs="David Transparent"/>
          <w:b/>
          <w:bCs/>
          <w:sz w:val="28"/>
          <w:szCs w:val="28"/>
          <w:u w:val="single"/>
        </w:rPr>
        <w:t>Alimta</w:t>
      </w:r>
      <w:proofErr w:type="spellEnd"/>
      <w:r w:rsidR="000B4C68" w:rsidRPr="007357D9">
        <w:rPr>
          <w:rFonts w:cs="David Transparent"/>
          <w:b/>
          <w:bCs/>
          <w:sz w:val="28"/>
          <w:szCs w:val="28"/>
          <w:u w:val="single"/>
        </w:rPr>
        <w:t xml:space="preserve"> 100mg, 500mg</w:t>
      </w:r>
      <w:r w:rsidR="002D6E81">
        <w:rPr>
          <w:rFonts w:cs="David Transparent"/>
          <w:b/>
          <w:bCs/>
        </w:rPr>
        <w:t xml:space="preserve"> </w:t>
      </w:r>
      <w:r w:rsidR="008D4CE3" w:rsidRPr="00FC10E6">
        <w:rPr>
          <w:rFonts w:cs="David Transparent" w:hint="cs"/>
          <w:b/>
          <w:bCs/>
          <w:rtl/>
        </w:rPr>
        <w:tab/>
      </w:r>
    </w:p>
    <w:p w:rsidR="007063BF" w:rsidRPr="00FC10E6" w:rsidRDefault="007063BF" w:rsidP="000B4C68">
      <w:pPr>
        <w:spacing w:line="360" w:lineRule="auto"/>
        <w:rPr>
          <w:rFonts w:cs="David Transparent"/>
          <w:b/>
          <w:bCs/>
          <w:rtl/>
        </w:rPr>
      </w:pPr>
      <w:r w:rsidRPr="00FC10E6">
        <w:rPr>
          <w:rFonts w:cs="David Transparent" w:hint="cs"/>
          <w:b/>
          <w:bCs/>
          <w:rtl/>
        </w:rPr>
        <w:t xml:space="preserve">מספר </w:t>
      </w:r>
      <w:r w:rsidRPr="00B6614E">
        <w:rPr>
          <w:rFonts w:cs="David Transparent" w:hint="cs"/>
          <w:b/>
          <w:bCs/>
          <w:rtl/>
        </w:rPr>
        <w:t>רישום:</w:t>
      </w:r>
      <w:r w:rsidR="00B6614E" w:rsidRPr="00B6614E">
        <w:rPr>
          <w:rFonts w:cs="David Transparent" w:hint="cs"/>
          <w:b/>
          <w:bCs/>
          <w:sz w:val="28"/>
          <w:szCs w:val="28"/>
          <w:u w:val="single"/>
          <w:rtl/>
        </w:rPr>
        <w:t>.</w:t>
      </w:r>
      <w:r w:rsidR="00B6614E" w:rsidRPr="00B6614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00/01</w:t>
      </w:r>
      <w:r w:rsidR="00291DD8" w:rsidRPr="00B6614E">
        <w:rPr>
          <w:rFonts w:cs="David Transparent"/>
          <w:b/>
          <w:bCs/>
          <w:sz w:val="28"/>
          <w:szCs w:val="28"/>
          <w:u w:val="single"/>
        </w:rPr>
        <w:t xml:space="preserve"> </w:t>
      </w:r>
      <w:r w:rsidR="000B4C68" w:rsidRPr="00B6614E">
        <w:rPr>
          <w:rFonts w:cs="David Transparent"/>
          <w:b/>
          <w:bCs/>
          <w:sz w:val="28"/>
          <w:szCs w:val="28"/>
          <w:u w:val="single"/>
        </w:rPr>
        <w:t>138 86 31721, 131 45 31049</w:t>
      </w:r>
      <w:r w:rsidR="00F90E5E" w:rsidRPr="00B6614E">
        <w:rPr>
          <w:rFonts w:cs="David Transparent" w:hint="cs"/>
          <w:b/>
          <w:bCs/>
          <w:sz w:val="22"/>
          <w:szCs w:val="22"/>
          <w:rtl/>
        </w:rPr>
        <w:tab/>
      </w:r>
    </w:p>
    <w:p w:rsidR="007063BF" w:rsidRDefault="007063BF" w:rsidP="002D6E81">
      <w:pPr>
        <w:spacing w:line="360" w:lineRule="auto"/>
        <w:rPr>
          <w:rFonts w:cs="David Transparent"/>
          <w:b/>
          <w:bCs/>
          <w:szCs w:val="28"/>
          <w:rtl/>
        </w:rPr>
      </w:pPr>
      <w:r w:rsidRPr="00FC10E6">
        <w:rPr>
          <w:rFonts w:cs="David Transparent" w:hint="cs"/>
          <w:b/>
          <w:bCs/>
          <w:rtl/>
        </w:rPr>
        <w:t>שם בעל הרישום:</w:t>
      </w:r>
      <w:r w:rsidR="002D6E81" w:rsidRPr="002D6E81">
        <w:rPr>
          <w:rFonts w:ascii="Calibri" w:hAnsi="Calibri" w:cs="David Transparent"/>
          <w:b/>
          <w:bCs/>
          <w:u w:val="single"/>
        </w:rPr>
        <w:t>Eli Lilly Israel Ltd.</w:t>
      </w:r>
      <w:r w:rsidR="002D6E81" w:rsidRPr="002D6E81">
        <w:rPr>
          <w:rFonts w:ascii="Calibri" w:hAnsi="Calibri" w:cs="David Transparent"/>
          <w:b/>
          <w:bCs/>
        </w:rPr>
        <w:t xml:space="preserve"> </w:t>
      </w:r>
      <w:r w:rsidR="00DC6C0D" w:rsidRPr="002D6E81">
        <w:rPr>
          <w:rFonts w:cs="David Transparent" w:hint="cs"/>
          <w:b/>
          <w:bCs/>
          <w:szCs w:val="28"/>
          <w:u w:val="single"/>
          <w:rtl/>
        </w:rPr>
        <w:t xml:space="preserve"> </w:t>
      </w:r>
    </w:p>
    <w:p w:rsidR="00D80D0B" w:rsidRPr="00696802" w:rsidRDefault="00D80D0B" w:rsidP="00D80D0B">
      <w:pPr>
        <w:spacing w:line="360" w:lineRule="auto"/>
        <w:ind w:left="-694" w:firstLine="551"/>
        <w:rPr>
          <w:rFonts w:cs="David Transparent"/>
          <w:color w:val="C0C0C0"/>
          <w:shd w:val="clear" w:color="auto" w:fill="000000"/>
          <w:rtl/>
        </w:rPr>
      </w:pPr>
    </w:p>
    <w:p w:rsidR="00D80D0B" w:rsidRDefault="00D80D0B" w:rsidP="00D80D0B">
      <w:pPr>
        <w:spacing w:line="360" w:lineRule="auto"/>
        <w:ind w:left="-694" w:firstLine="551"/>
        <w:rPr>
          <w:b/>
          <w:bCs/>
        </w:rPr>
      </w:pPr>
      <w:r w:rsidRPr="00696802">
        <w:rPr>
          <w:rFonts w:cs="David Transparent"/>
          <w:color w:val="C0C0C0"/>
          <w:shd w:val="clear" w:color="auto" w:fill="000000"/>
          <w:rtl/>
        </w:rPr>
        <w:t>בעלון ל</w:t>
      </w:r>
      <w:r w:rsidRPr="00696802">
        <w:rPr>
          <w:rFonts w:cs="David Transparent" w:hint="cs"/>
          <w:color w:val="C0C0C0"/>
          <w:shd w:val="clear" w:color="auto" w:fill="000000"/>
          <w:rtl/>
        </w:rPr>
        <w:t>רופא</w:t>
      </w:r>
    </w:p>
    <w:p w:rsidR="00D80D0B" w:rsidRDefault="00D80D0B" w:rsidP="000C2846">
      <w:pPr>
        <w:spacing w:line="360" w:lineRule="auto"/>
        <w:ind w:left="-694" w:firstLine="694"/>
        <w:rPr>
          <w:b/>
          <w:bCs/>
          <w:u w:val="single"/>
          <w:rtl/>
        </w:rPr>
      </w:pPr>
    </w:p>
    <w:tbl>
      <w:tblPr>
        <w:bidiVisual/>
        <w:tblW w:w="10347" w:type="dxa"/>
        <w:jc w:val="center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9"/>
        <w:gridCol w:w="4296"/>
        <w:gridCol w:w="4252"/>
        <w:tblGridChange w:id="0">
          <w:tblGrid>
            <w:gridCol w:w="1799"/>
            <w:gridCol w:w="1566"/>
            <w:gridCol w:w="1799"/>
            <w:gridCol w:w="931"/>
            <w:gridCol w:w="3365"/>
            <w:gridCol w:w="887"/>
            <w:gridCol w:w="3365"/>
          </w:tblGrid>
        </w:tblGridChange>
      </w:tblGrid>
      <w:tr w:rsidR="004224DB" w:rsidTr="00AC6D5B">
        <w:trPr>
          <w:cantSplit/>
          <w:trHeight w:val="512"/>
          <w:jc w:val="center"/>
        </w:trPr>
        <w:tc>
          <w:tcPr>
            <w:tcW w:w="1034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7063BF" w:rsidRDefault="00EB1B6E" w:rsidP="00AC6D5B">
            <w:pPr>
              <w:jc w:val="center"/>
              <w:rPr>
                <w:rFonts w:cs="David Transparent"/>
                <w:b/>
                <w:bCs/>
                <w:rtl/>
              </w:rPr>
            </w:pPr>
            <w:r>
              <w:rPr>
                <w:rFonts w:cs="David Transparent" w:hint="cs"/>
                <w:b/>
                <w:bCs/>
                <w:rtl/>
              </w:rPr>
              <w:t>ההחמרות המבוקשות</w:t>
            </w:r>
          </w:p>
        </w:tc>
      </w:tr>
      <w:tr w:rsidR="004224DB" w:rsidTr="00E54D9B">
        <w:trPr>
          <w:trHeight w:val="530"/>
          <w:jc w:val="center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4DB" w:rsidRDefault="004224DB" w:rsidP="00E54D9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פרק בעלון</w:t>
            </w:r>
          </w:p>
        </w:tc>
        <w:tc>
          <w:tcPr>
            <w:tcW w:w="4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4DB" w:rsidRDefault="004224DB" w:rsidP="00E54D9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נוכחי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DB" w:rsidRDefault="004224DB" w:rsidP="00E54D9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חדש</w:t>
            </w:r>
          </w:p>
        </w:tc>
      </w:tr>
      <w:tr w:rsidR="00D80D0B" w:rsidTr="002D6E81">
        <w:trPr>
          <w:jc w:val="center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6A427B" w:rsidRPr="006A427B" w:rsidRDefault="006A427B" w:rsidP="006A427B">
            <w:pPr>
              <w:pStyle w:val="PLRHeading1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4.5 </w:t>
            </w:r>
            <w:r w:rsidRPr="006A427B">
              <w:rPr>
                <w:rFonts w:ascii="Calibri" w:hAnsi="Calibri"/>
                <w:lang w:val="en-GB"/>
              </w:rPr>
              <w:t>INTERACTION WITH OTHER MEDICINAL PRODUCTS AND OTHER FORMS OF INTERACTION</w:t>
            </w:r>
          </w:p>
          <w:p w:rsidR="0039091A" w:rsidRDefault="0039091A" w:rsidP="00A348B0">
            <w:pPr>
              <w:pStyle w:val="PLRHeading2"/>
              <w:rPr>
                <w:rFonts w:ascii="Calibri" w:hAnsi="Calibri"/>
              </w:rPr>
            </w:pPr>
          </w:p>
          <w:p w:rsidR="0092452F" w:rsidRPr="0092452F" w:rsidRDefault="0092452F" w:rsidP="00A2691E">
            <w:pPr>
              <w:pStyle w:val="PLRHeading2"/>
              <w:rPr>
                <w:sz w:val="16"/>
                <w:szCs w:val="16"/>
                <w:rtl/>
              </w:rPr>
            </w:pPr>
          </w:p>
        </w:tc>
        <w:tc>
          <w:tcPr>
            <w:tcW w:w="4296" w:type="dxa"/>
            <w:tcBorders>
              <w:top w:val="single" w:sz="4" w:space="0" w:color="auto"/>
              <w:bottom w:val="single" w:sz="4" w:space="0" w:color="auto"/>
            </w:tcBorders>
          </w:tcPr>
          <w:p w:rsidR="00A44D1C" w:rsidRPr="00A44D1C" w:rsidRDefault="006A427B" w:rsidP="006A427B">
            <w:pPr>
              <w:bidi w:val="0"/>
              <w:rPr>
                <w:rFonts w:ascii="Calibri" w:hAnsi="Calibri"/>
                <w:sz w:val="20"/>
                <w:rtl/>
                <w:lang w:val="en-GB" w:bidi="ar-SA"/>
              </w:rPr>
            </w:pPr>
            <w:r w:rsidRPr="006A427B">
              <w:rPr>
                <w:rFonts w:asciiTheme="minorHAnsi" w:hAnsiTheme="minorHAnsi"/>
                <w:sz w:val="20"/>
                <w:szCs w:val="20"/>
              </w:rPr>
              <w:t xml:space="preserve">In the absence of data regarding potential interaction with NSAIDs having longer half-lives such as </w:t>
            </w:r>
            <w:proofErr w:type="spellStart"/>
            <w:r w:rsidRPr="006A427B">
              <w:rPr>
                <w:rFonts w:asciiTheme="minorHAnsi" w:hAnsiTheme="minorHAnsi"/>
                <w:sz w:val="20"/>
                <w:szCs w:val="20"/>
              </w:rPr>
              <w:t>piroxicam</w:t>
            </w:r>
            <w:proofErr w:type="spellEnd"/>
            <w:r w:rsidRPr="006A427B">
              <w:rPr>
                <w:rFonts w:asciiTheme="minorHAnsi" w:hAnsiTheme="minorHAnsi"/>
                <w:sz w:val="20"/>
                <w:szCs w:val="20"/>
              </w:rPr>
              <w:t xml:space="preserve"> or </w:t>
            </w:r>
            <w:proofErr w:type="spellStart"/>
            <w:r w:rsidRPr="006A427B">
              <w:rPr>
                <w:rFonts w:asciiTheme="minorHAnsi" w:hAnsiTheme="minorHAnsi"/>
                <w:sz w:val="20"/>
                <w:szCs w:val="20"/>
              </w:rPr>
              <w:t>rofecoxib</w:t>
            </w:r>
            <w:proofErr w:type="spellEnd"/>
            <w:r w:rsidRPr="006A427B">
              <w:rPr>
                <w:rFonts w:asciiTheme="minorHAnsi" w:hAnsiTheme="minorHAnsi"/>
                <w:sz w:val="20"/>
                <w:szCs w:val="20"/>
              </w:rPr>
              <w:t xml:space="preserve">, the concomitant administration with </w:t>
            </w:r>
            <w:proofErr w:type="spellStart"/>
            <w:r w:rsidRPr="006A427B">
              <w:rPr>
                <w:rFonts w:asciiTheme="minorHAnsi" w:hAnsiTheme="minorHAnsi"/>
                <w:sz w:val="20"/>
                <w:szCs w:val="20"/>
              </w:rPr>
              <w:t>pemetrexed</w:t>
            </w:r>
            <w:proofErr w:type="spellEnd"/>
            <w:r w:rsidRPr="006A427B">
              <w:rPr>
                <w:rFonts w:asciiTheme="minorHAnsi" w:hAnsiTheme="minorHAnsi"/>
                <w:sz w:val="20"/>
                <w:szCs w:val="20"/>
              </w:rPr>
              <w:t xml:space="preserve"> in patients with mild to moderate renal insufficiency should be interrupted for at least 5 days prior to, on the day of, and at least 2 days following </w:t>
            </w:r>
            <w:proofErr w:type="spellStart"/>
            <w:r w:rsidRPr="006A427B">
              <w:rPr>
                <w:rFonts w:asciiTheme="minorHAnsi" w:hAnsiTheme="minorHAnsi"/>
                <w:sz w:val="20"/>
                <w:szCs w:val="20"/>
              </w:rPr>
              <w:t>pemetrexed</w:t>
            </w:r>
            <w:proofErr w:type="spellEnd"/>
            <w:r w:rsidRPr="006A427B">
              <w:rPr>
                <w:rFonts w:asciiTheme="minorHAnsi" w:hAnsiTheme="minorHAnsi"/>
                <w:sz w:val="20"/>
                <w:szCs w:val="20"/>
              </w:rPr>
              <w:t xml:space="preserve"> administration (see section 4.4).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B" w:rsidRPr="006A427B" w:rsidRDefault="006A427B" w:rsidP="006A427B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A427B">
              <w:rPr>
                <w:rFonts w:asciiTheme="minorHAnsi" w:hAnsiTheme="minorHAnsi"/>
                <w:sz w:val="20"/>
                <w:szCs w:val="20"/>
              </w:rPr>
              <w:t xml:space="preserve">In the absence of data regarding potential interaction with NSAIDs having longer half-lives such as </w:t>
            </w:r>
            <w:proofErr w:type="spellStart"/>
            <w:r w:rsidRPr="006A427B">
              <w:rPr>
                <w:rFonts w:asciiTheme="minorHAnsi" w:hAnsiTheme="minorHAnsi"/>
                <w:sz w:val="20"/>
                <w:szCs w:val="20"/>
              </w:rPr>
              <w:t>piroxicam</w:t>
            </w:r>
            <w:proofErr w:type="spellEnd"/>
            <w:r w:rsidRPr="006A427B">
              <w:rPr>
                <w:rFonts w:asciiTheme="minorHAnsi" w:hAnsiTheme="minorHAnsi"/>
                <w:sz w:val="20"/>
                <w:szCs w:val="20"/>
              </w:rPr>
              <w:t xml:space="preserve"> or </w:t>
            </w:r>
            <w:proofErr w:type="spellStart"/>
            <w:r w:rsidRPr="006A427B">
              <w:rPr>
                <w:rFonts w:asciiTheme="minorHAnsi" w:hAnsiTheme="minorHAnsi"/>
                <w:sz w:val="20"/>
                <w:szCs w:val="20"/>
              </w:rPr>
              <w:t>rofecoxib</w:t>
            </w:r>
            <w:proofErr w:type="spellEnd"/>
            <w:r w:rsidRPr="006A427B">
              <w:rPr>
                <w:rFonts w:asciiTheme="minorHAnsi" w:hAnsiTheme="minorHAnsi"/>
                <w:sz w:val="20"/>
                <w:szCs w:val="20"/>
              </w:rPr>
              <w:t xml:space="preserve">, the concomitant administration with </w:t>
            </w:r>
            <w:proofErr w:type="spellStart"/>
            <w:r w:rsidRPr="006A427B">
              <w:rPr>
                <w:rFonts w:asciiTheme="minorHAnsi" w:hAnsiTheme="minorHAnsi"/>
                <w:sz w:val="20"/>
                <w:szCs w:val="20"/>
              </w:rPr>
              <w:t>pemetrexed</w:t>
            </w:r>
            <w:proofErr w:type="spellEnd"/>
            <w:r w:rsidRPr="006A427B">
              <w:rPr>
                <w:rFonts w:asciiTheme="minorHAnsi" w:hAnsiTheme="minorHAnsi"/>
                <w:sz w:val="20"/>
                <w:szCs w:val="20"/>
              </w:rPr>
              <w:t xml:space="preserve"> in patients with mild to moderate renal insufficiency should be interrupted for at least 5 days prior to, on the day of, and at least 2 days following </w:t>
            </w:r>
            <w:proofErr w:type="spellStart"/>
            <w:r w:rsidRPr="006A427B">
              <w:rPr>
                <w:rFonts w:asciiTheme="minorHAnsi" w:hAnsiTheme="minorHAnsi"/>
                <w:sz w:val="20"/>
                <w:szCs w:val="20"/>
              </w:rPr>
              <w:t>pemetrexed</w:t>
            </w:r>
            <w:proofErr w:type="spellEnd"/>
            <w:r w:rsidRPr="006A427B">
              <w:rPr>
                <w:rFonts w:asciiTheme="minorHAnsi" w:hAnsiTheme="minorHAnsi"/>
                <w:sz w:val="20"/>
                <w:szCs w:val="20"/>
              </w:rPr>
              <w:t xml:space="preserve"> administration (see section 4.4</w:t>
            </w:r>
            <w:r w:rsidRPr="006A427B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  <w:r w:rsidRPr="006A427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If concomitant administration of NSAIDs is necessary, patients should be monitored closely for toxicity, especially </w:t>
            </w:r>
            <w:proofErr w:type="spellStart"/>
            <w:r w:rsidRPr="006A427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myelosuppression</w:t>
            </w:r>
            <w:proofErr w:type="spellEnd"/>
            <w:r w:rsidRPr="006A427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and gastrointestinal toxicity.</w:t>
            </w:r>
          </w:p>
          <w:p w:rsidR="00B95E0C" w:rsidRPr="006A427B" w:rsidRDefault="00B95E0C" w:rsidP="00A44D1C">
            <w:pPr>
              <w:pStyle w:val="Style1"/>
              <w:autoSpaceDE/>
              <w:autoSpaceDN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80D0B" w:rsidTr="002D6E81">
        <w:trPr>
          <w:jc w:val="center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44D1C" w:rsidRPr="00A44D1C" w:rsidRDefault="00A44D1C" w:rsidP="00A44D1C">
            <w:pPr>
              <w:pStyle w:val="PLRHeading1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4.8 </w:t>
            </w:r>
            <w:r w:rsidRPr="00A44D1C">
              <w:rPr>
                <w:rFonts w:ascii="Calibri" w:hAnsi="Calibri"/>
                <w:lang w:val="en-GB"/>
              </w:rPr>
              <w:t>UNDESIRABLE EFFECTS</w:t>
            </w:r>
          </w:p>
          <w:p w:rsidR="0092452F" w:rsidRPr="0092452F" w:rsidRDefault="0092452F" w:rsidP="0092452F">
            <w:pPr>
              <w:bidi w:val="0"/>
              <w:rPr>
                <w:sz w:val="16"/>
                <w:szCs w:val="16"/>
                <w:rtl/>
                <w:lang w:eastAsia="en-US" w:bidi="ar-SA"/>
              </w:rPr>
            </w:pPr>
          </w:p>
        </w:tc>
        <w:tc>
          <w:tcPr>
            <w:tcW w:w="4296" w:type="dxa"/>
            <w:tcBorders>
              <w:top w:val="single" w:sz="4" w:space="0" w:color="auto"/>
              <w:bottom w:val="single" w:sz="4" w:space="0" w:color="auto"/>
            </w:tcBorders>
          </w:tcPr>
          <w:p w:rsidR="005E5F06" w:rsidRPr="005E5F06" w:rsidRDefault="00A44D1C" w:rsidP="00AB5734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  <w:r w:rsidRPr="005E5F06">
              <w:rPr>
                <w:rFonts w:asciiTheme="minorHAnsi" w:hAnsiTheme="minorHAnsi"/>
                <w:b/>
                <w:sz w:val="20"/>
                <w:szCs w:val="20"/>
              </w:rPr>
              <w:t>Tabulated list of adverse reactions</w:t>
            </w:r>
            <w:r w:rsidRPr="005E5F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E5F06" w:rsidRPr="005E5F06">
              <w:rPr>
                <w:rFonts w:asciiTheme="minorHAnsi" w:hAnsiTheme="minorHAnsi"/>
                <w:sz w:val="20"/>
                <w:szCs w:val="20"/>
              </w:rPr>
              <w:t>(page 1</w:t>
            </w:r>
            <w:r w:rsidR="00AB5734">
              <w:rPr>
                <w:rFonts w:asciiTheme="minorHAnsi" w:hAnsiTheme="minorHAnsi"/>
                <w:sz w:val="20"/>
                <w:szCs w:val="20"/>
              </w:rPr>
              <w:t>4</w:t>
            </w:r>
            <w:r w:rsidR="005E5F06" w:rsidRPr="005E5F06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5E5F06" w:rsidRPr="005E5F06" w:rsidRDefault="005E5F06" w:rsidP="005E5F06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  <w:p w:rsidR="00D80D0B" w:rsidRPr="00811A6C" w:rsidRDefault="00D80D0B" w:rsidP="00AB5734">
            <w:pPr>
              <w:bidi w:val="0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6" w:rsidRPr="005E5F06" w:rsidRDefault="005E5F06" w:rsidP="00AB5734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  <w:r w:rsidRPr="005E5F06">
              <w:rPr>
                <w:rFonts w:asciiTheme="minorHAnsi" w:hAnsiTheme="minorHAnsi"/>
                <w:b/>
                <w:sz w:val="20"/>
                <w:szCs w:val="20"/>
              </w:rPr>
              <w:t>Tabulated list of adverse reactions</w:t>
            </w:r>
            <w:r w:rsidRPr="005E5F06">
              <w:rPr>
                <w:rFonts w:asciiTheme="minorHAnsi" w:hAnsiTheme="minorHAnsi"/>
                <w:sz w:val="20"/>
                <w:szCs w:val="20"/>
              </w:rPr>
              <w:t xml:space="preserve"> (page 1</w:t>
            </w:r>
            <w:r w:rsidR="00AB5734">
              <w:rPr>
                <w:rFonts w:asciiTheme="minorHAnsi" w:hAnsiTheme="minorHAnsi"/>
                <w:sz w:val="20"/>
                <w:szCs w:val="20"/>
              </w:rPr>
              <w:t>4</w:t>
            </w:r>
            <w:r w:rsidRPr="005E5F06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161BF" w:rsidRDefault="00AB5734" w:rsidP="004161BF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**See </w:t>
            </w:r>
            <w:r w:rsidRPr="008D25FD">
              <w:rPr>
                <w:rFonts w:ascii="Calibri" w:hAnsi="Calibri"/>
                <w:sz w:val="20"/>
              </w:rPr>
              <w:t>below attached revised (New) Table on page 1</w:t>
            </w:r>
            <w:r>
              <w:rPr>
                <w:rFonts w:ascii="Calibri" w:hAnsi="Calibri"/>
                <w:sz w:val="20"/>
              </w:rPr>
              <w:t xml:space="preserve">4 in which the adverse events, </w:t>
            </w:r>
            <w:r w:rsidRPr="00AB5734">
              <w:rPr>
                <w:rFonts w:ascii="Calibri" w:hAnsi="Calibri"/>
                <w:i/>
                <w:iCs/>
                <w:sz w:val="20"/>
                <w:szCs w:val="20"/>
              </w:rPr>
              <w:t>edema</w:t>
            </w:r>
            <w:r w:rsidRPr="00AB5734">
              <w:rPr>
                <w:rFonts w:ascii="Calibri" w:hAnsi="Calibri"/>
                <w:sz w:val="20"/>
                <w:szCs w:val="20"/>
              </w:rPr>
              <w:t xml:space="preserve"> and </w:t>
            </w:r>
            <w:r w:rsidRPr="00AB5734">
              <w:rPr>
                <w:rFonts w:ascii="Calibri" w:hAnsi="Calibri"/>
                <w:i/>
                <w:iCs/>
                <w:sz w:val="20"/>
                <w:szCs w:val="20"/>
              </w:rPr>
              <w:t>renal disorders</w:t>
            </w:r>
            <w:r w:rsidRPr="00AB5734">
              <w:rPr>
                <w:rFonts w:ascii="Calibri" w:hAnsi="Calibri"/>
                <w:sz w:val="20"/>
                <w:szCs w:val="20"/>
              </w:rPr>
              <w:t xml:space="preserve"> have been moved into the table from their location on the following page</w:t>
            </w:r>
            <w:r>
              <w:rPr>
                <w:rFonts w:ascii="Calibri" w:hAnsi="Calibri"/>
                <w:sz w:val="20"/>
              </w:rPr>
              <w:t xml:space="preserve"> and the frequency of many of the Adverse Events was updated.</w:t>
            </w:r>
          </w:p>
          <w:p w:rsidR="005E5F06" w:rsidRPr="005E5F06" w:rsidRDefault="004161BF" w:rsidP="004161B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Also, a footnote was added defining “</w:t>
            </w:r>
            <w:r w:rsidRPr="004161BF">
              <w:rPr>
                <w:rFonts w:ascii="Calibri" w:hAnsi="Calibri"/>
                <w:i/>
                <w:iCs/>
                <w:sz w:val="20"/>
              </w:rPr>
              <w:t>renal disorders</w:t>
            </w:r>
            <w:r>
              <w:rPr>
                <w:rFonts w:ascii="Calibri" w:hAnsi="Calibri"/>
                <w:sz w:val="20"/>
              </w:rPr>
              <w:t>”.</w:t>
            </w:r>
          </w:p>
          <w:p w:rsidR="00B95E0C" w:rsidRPr="00811A6C" w:rsidRDefault="00B95E0C" w:rsidP="00AB5734">
            <w:pPr>
              <w:bidi w:val="0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E51847" w:rsidTr="00E51847">
        <w:trPr>
          <w:jc w:val="center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E51847" w:rsidRDefault="00E51847" w:rsidP="00E51847">
            <w:pPr>
              <w:pStyle w:val="PLRHeading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B95E0C">
              <w:rPr>
                <w:rFonts w:ascii="Calibri" w:hAnsi="Calibri"/>
              </w:rPr>
              <w:t>.</w:t>
            </w:r>
            <w:r w:rsidRPr="00B95E0C" w:rsidDel="00F7361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8</w:t>
            </w:r>
            <w:r w:rsidRPr="00B95E0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UNDESIRABLE  EFFECTS</w:t>
            </w:r>
          </w:p>
          <w:p w:rsidR="00E51847" w:rsidRDefault="00E51847" w:rsidP="00E51847">
            <w:pPr>
              <w:pStyle w:val="PLRHeading2"/>
              <w:rPr>
                <w:rFonts w:ascii="Calibri" w:hAnsi="Calibri"/>
              </w:rPr>
            </w:pPr>
          </w:p>
        </w:tc>
        <w:tc>
          <w:tcPr>
            <w:tcW w:w="4296" w:type="dxa"/>
            <w:tcBorders>
              <w:top w:val="single" w:sz="4" w:space="0" w:color="auto"/>
              <w:bottom w:val="single" w:sz="4" w:space="0" w:color="auto"/>
            </w:tcBorders>
          </w:tcPr>
          <w:p w:rsidR="00152F5C" w:rsidRPr="00152F5C" w:rsidRDefault="00152F5C" w:rsidP="00152F5C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  <w:r w:rsidRPr="00152F5C">
              <w:rPr>
                <w:rFonts w:asciiTheme="minorHAnsi" w:hAnsiTheme="minorHAnsi"/>
                <w:sz w:val="20"/>
                <w:szCs w:val="20"/>
              </w:rPr>
              <w:t xml:space="preserve">Safety was assessed for patients who were </w:t>
            </w:r>
            <w:proofErr w:type="spellStart"/>
            <w:r w:rsidRPr="00152F5C">
              <w:rPr>
                <w:rFonts w:asciiTheme="minorHAnsi" w:hAnsiTheme="minorHAnsi"/>
                <w:sz w:val="20"/>
                <w:szCs w:val="20"/>
              </w:rPr>
              <w:t>randomised</w:t>
            </w:r>
            <w:proofErr w:type="spellEnd"/>
            <w:r w:rsidRPr="00152F5C">
              <w:rPr>
                <w:rFonts w:asciiTheme="minorHAnsi" w:hAnsiTheme="minorHAnsi"/>
                <w:sz w:val="20"/>
                <w:szCs w:val="20"/>
              </w:rPr>
              <w:t xml:space="preserve"> to receive </w:t>
            </w:r>
            <w:proofErr w:type="spellStart"/>
            <w:r w:rsidRPr="00152F5C">
              <w:rPr>
                <w:rFonts w:asciiTheme="minorHAnsi" w:hAnsiTheme="minorHAnsi"/>
                <w:sz w:val="20"/>
                <w:szCs w:val="20"/>
              </w:rPr>
              <w:t>pemetrexed</w:t>
            </w:r>
            <w:proofErr w:type="spellEnd"/>
            <w:r w:rsidRPr="00152F5C">
              <w:rPr>
                <w:rFonts w:asciiTheme="minorHAnsi" w:hAnsiTheme="minorHAnsi"/>
                <w:sz w:val="20"/>
                <w:szCs w:val="20"/>
              </w:rPr>
              <w:t xml:space="preserve"> (N=800). The incidence of adverse reactions was evaluated for patients who received ≤ 6 cycles of </w:t>
            </w:r>
            <w:proofErr w:type="spellStart"/>
            <w:r w:rsidRPr="00152F5C">
              <w:rPr>
                <w:rFonts w:asciiTheme="minorHAnsi" w:hAnsiTheme="minorHAnsi"/>
                <w:sz w:val="20"/>
                <w:szCs w:val="20"/>
              </w:rPr>
              <w:t>pemetrexed</w:t>
            </w:r>
            <w:proofErr w:type="spellEnd"/>
            <w:r w:rsidRPr="00152F5C">
              <w:rPr>
                <w:rFonts w:asciiTheme="minorHAnsi" w:hAnsiTheme="minorHAnsi"/>
                <w:sz w:val="20"/>
                <w:szCs w:val="20"/>
              </w:rPr>
              <w:t xml:space="preserve"> maintenance (N=</w:t>
            </w:r>
            <w:r w:rsidRPr="00152F5C">
              <w:rPr>
                <w:rFonts w:asciiTheme="minorHAnsi" w:hAnsiTheme="minorHAnsi"/>
                <w:strike/>
                <w:sz w:val="20"/>
                <w:szCs w:val="20"/>
              </w:rPr>
              <w:t>568</w:t>
            </w:r>
            <w:r w:rsidRPr="00152F5C">
              <w:rPr>
                <w:rFonts w:asciiTheme="minorHAnsi" w:hAnsiTheme="minorHAnsi"/>
                <w:sz w:val="20"/>
                <w:szCs w:val="20"/>
              </w:rPr>
              <w:t xml:space="preserve">), and compared to patients who received &gt; 6 cycles of </w:t>
            </w:r>
            <w:proofErr w:type="spellStart"/>
            <w:r w:rsidRPr="00152F5C">
              <w:rPr>
                <w:rFonts w:asciiTheme="minorHAnsi" w:hAnsiTheme="minorHAnsi"/>
                <w:sz w:val="20"/>
                <w:szCs w:val="20"/>
              </w:rPr>
              <w:t>pemetrexed</w:t>
            </w:r>
            <w:proofErr w:type="spellEnd"/>
            <w:r w:rsidRPr="00152F5C">
              <w:rPr>
                <w:rFonts w:asciiTheme="minorHAnsi" w:hAnsiTheme="minorHAnsi"/>
                <w:sz w:val="20"/>
                <w:szCs w:val="20"/>
              </w:rPr>
              <w:t xml:space="preserve"> (N=</w:t>
            </w:r>
            <w:r w:rsidRPr="00152F5C">
              <w:rPr>
                <w:rFonts w:asciiTheme="minorHAnsi" w:hAnsiTheme="minorHAnsi"/>
                <w:strike/>
                <w:sz w:val="20"/>
                <w:szCs w:val="20"/>
              </w:rPr>
              <w:t>232</w:t>
            </w:r>
            <w:r w:rsidRPr="00152F5C">
              <w:rPr>
                <w:rFonts w:asciiTheme="minorHAnsi" w:hAnsiTheme="minorHAnsi"/>
                <w:sz w:val="20"/>
                <w:szCs w:val="20"/>
              </w:rPr>
              <w:t xml:space="preserve">). Increases in adverse reactions (all grades) were observed with longer exposure; </w:t>
            </w:r>
            <w:r w:rsidRPr="00152F5C">
              <w:rPr>
                <w:rFonts w:asciiTheme="minorHAnsi" w:hAnsiTheme="minorHAnsi"/>
                <w:strike/>
                <w:sz w:val="20"/>
                <w:szCs w:val="20"/>
              </w:rPr>
              <w:t>however, no</w:t>
            </w:r>
            <w:r w:rsidRPr="00152F5C">
              <w:rPr>
                <w:rFonts w:asciiTheme="minorHAnsi" w:hAnsiTheme="minorHAnsi"/>
                <w:sz w:val="20"/>
                <w:szCs w:val="20"/>
              </w:rPr>
              <w:t xml:space="preserve">. 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152F5C">
              <w:rPr>
                <w:rFonts w:asciiTheme="minorHAnsi" w:hAnsiTheme="minorHAnsi"/>
                <w:sz w:val="20"/>
                <w:szCs w:val="20"/>
              </w:rPr>
              <w:t>tatistically</w:t>
            </w:r>
            <w:proofErr w:type="gramEnd"/>
            <w:r w:rsidRPr="00152F5C">
              <w:rPr>
                <w:rFonts w:asciiTheme="minorHAnsi" w:hAnsiTheme="minorHAnsi"/>
                <w:sz w:val="20"/>
                <w:szCs w:val="20"/>
              </w:rPr>
              <w:t xml:space="preserve"> significant differences in any individual Grade 3/4/5 adverse reactions were seen. </w:t>
            </w:r>
          </w:p>
          <w:p w:rsidR="00E51847" w:rsidRPr="00447C61" w:rsidRDefault="00E51847" w:rsidP="001C194D">
            <w:pPr>
              <w:keepNext/>
              <w:bidi w:val="0"/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:rsidR="00E51847" w:rsidRPr="00152F5C" w:rsidRDefault="00E51847" w:rsidP="00E51847">
            <w:pPr>
              <w:pStyle w:val="Style1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5C" w:rsidRPr="00152F5C" w:rsidRDefault="00152F5C" w:rsidP="00152F5C">
            <w:pPr>
              <w:bidi w:val="0"/>
              <w:rPr>
                <w:rFonts w:ascii="Calibri" w:hAnsi="Calibri"/>
                <w:sz w:val="20"/>
                <w:szCs w:val="20"/>
              </w:rPr>
            </w:pPr>
            <w:r w:rsidRPr="00152F5C">
              <w:rPr>
                <w:rFonts w:ascii="Calibri" w:hAnsi="Calibri"/>
                <w:sz w:val="20"/>
                <w:szCs w:val="20"/>
              </w:rPr>
              <w:t xml:space="preserve">Safety was assessed for patients who were </w:t>
            </w:r>
            <w:proofErr w:type="spellStart"/>
            <w:r w:rsidRPr="00152F5C">
              <w:rPr>
                <w:rFonts w:ascii="Calibri" w:hAnsi="Calibri"/>
                <w:sz w:val="20"/>
                <w:szCs w:val="20"/>
              </w:rPr>
              <w:t>randomised</w:t>
            </w:r>
            <w:proofErr w:type="spellEnd"/>
            <w:r w:rsidRPr="00152F5C">
              <w:rPr>
                <w:rFonts w:ascii="Calibri" w:hAnsi="Calibri"/>
                <w:sz w:val="20"/>
                <w:szCs w:val="20"/>
              </w:rPr>
              <w:t xml:space="preserve"> to receive </w:t>
            </w:r>
            <w:proofErr w:type="spellStart"/>
            <w:r w:rsidRPr="00152F5C">
              <w:rPr>
                <w:rFonts w:ascii="Calibri" w:hAnsi="Calibri"/>
                <w:sz w:val="20"/>
                <w:szCs w:val="20"/>
              </w:rPr>
              <w:t>pemetrexed</w:t>
            </w:r>
            <w:proofErr w:type="spellEnd"/>
            <w:r w:rsidRPr="00152F5C">
              <w:rPr>
                <w:rFonts w:ascii="Calibri" w:hAnsi="Calibri"/>
                <w:sz w:val="20"/>
                <w:szCs w:val="20"/>
              </w:rPr>
              <w:t xml:space="preserve"> (N=800). The incidence of adverse reactions was evaluated for patients who received ≤ 6 cycles of </w:t>
            </w:r>
            <w:proofErr w:type="spellStart"/>
            <w:r w:rsidRPr="00152F5C">
              <w:rPr>
                <w:rFonts w:ascii="Calibri" w:hAnsi="Calibri"/>
                <w:sz w:val="20"/>
                <w:szCs w:val="20"/>
              </w:rPr>
              <w:t>pemetrexed</w:t>
            </w:r>
            <w:proofErr w:type="spellEnd"/>
            <w:r w:rsidRPr="00152F5C">
              <w:rPr>
                <w:rFonts w:ascii="Calibri" w:hAnsi="Calibri"/>
                <w:sz w:val="20"/>
                <w:szCs w:val="20"/>
              </w:rPr>
              <w:t xml:space="preserve"> maintenance (N=</w:t>
            </w:r>
            <w:r w:rsidRPr="00152F5C">
              <w:rPr>
                <w:rFonts w:ascii="Calibri" w:hAnsi="Calibri"/>
                <w:strike/>
                <w:sz w:val="20"/>
                <w:szCs w:val="20"/>
              </w:rPr>
              <w:t>568</w:t>
            </w:r>
            <w:r w:rsidRPr="00152F5C">
              <w:rPr>
                <w:rFonts w:ascii="Calibri" w:hAnsi="Calibri"/>
                <w:sz w:val="20"/>
                <w:szCs w:val="20"/>
                <w:highlight w:val="yellow"/>
              </w:rPr>
              <w:t>519</w:t>
            </w:r>
            <w:r w:rsidRPr="00152F5C">
              <w:rPr>
                <w:rFonts w:ascii="Calibri" w:hAnsi="Calibri"/>
                <w:sz w:val="20"/>
                <w:szCs w:val="20"/>
              </w:rPr>
              <w:t xml:space="preserve">), and compared to patients who received &gt; 6 cycles of </w:t>
            </w:r>
            <w:proofErr w:type="spellStart"/>
            <w:r w:rsidRPr="00152F5C">
              <w:rPr>
                <w:rFonts w:ascii="Calibri" w:hAnsi="Calibri"/>
                <w:sz w:val="20"/>
                <w:szCs w:val="20"/>
              </w:rPr>
              <w:t>pemetrexed</w:t>
            </w:r>
            <w:proofErr w:type="spellEnd"/>
            <w:r w:rsidRPr="00152F5C">
              <w:rPr>
                <w:rFonts w:ascii="Calibri" w:hAnsi="Calibri"/>
                <w:sz w:val="20"/>
                <w:szCs w:val="20"/>
              </w:rPr>
              <w:t xml:space="preserve"> (N=</w:t>
            </w:r>
            <w:r w:rsidRPr="00152F5C">
              <w:rPr>
                <w:rFonts w:ascii="Calibri" w:hAnsi="Calibri"/>
                <w:strike/>
                <w:sz w:val="20"/>
                <w:szCs w:val="20"/>
              </w:rPr>
              <w:t>232</w:t>
            </w:r>
            <w:r w:rsidRPr="00152F5C">
              <w:rPr>
                <w:rFonts w:ascii="Calibri" w:hAnsi="Calibri"/>
                <w:sz w:val="20"/>
                <w:szCs w:val="20"/>
                <w:highlight w:val="yellow"/>
              </w:rPr>
              <w:t>281</w:t>
            </w:r>
            <w:r w:rsidRPr="00152F5C">
              <w:rPr>
                <w:rFonts w:ascii="Calibri" w:hAnsi="Calibri"/>
                <w:sz w:val="20"/>
                <w:szCs w:val="20"/>
              </w:rPr>
              <w:t xml:space="preserve">). Increases in adverse reactions (all grades) were observed with longer exposure; </w:t>
            </w:r>
            <w:r w:rsidRPr="00152F5C">
              <w:rPr>
                <w:rFonts w:ascii="Calibri" w:hAnsi="Calibri"/>
                <w:strike/>
                <w:sz w:val="20"/>
                <w:szCs w:val="20"/>
              </w:rPr>
              <w:t>however, no</w:t>
            </w:r>
            <w:r w:rsidRPr="00152F5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52F5C">
              <w:rPr>
                <w:rFonts w:ascii="Calibri" w:hAnsi="Calibri"/>
                <w:sz w:val="20"/>
                <w:szCs w:val="20"/>
                <w:highlight w:val="yellow"/>
              </w:rPr>
              <w:t xml:space="preserve">A significant increase in the incidence of possibly study-drug-related Grade 3/4 neutropenia was observed with longer exposure to </w:t>
            </w:r>
            <w:proofErr w:type="spellStart"/>
            <w:r w:rsidRPr="00152F5C">
              <w:rPr>
                <w:rFonts w:ascii="Calibri" w:hAnsi="Calibri"/>
                <w:sz w:val="20"/>
                <w:szCs w:val="20"/>
                <w:highlight w:val="yellow"/>
              </w:rPr>
              <w:t>pemetrexed</w:t>
            </w:r>
            <w:proofErr w:type="spellEnd"/>
            <w:r w:rsidRPr="00152F5C">
              <w:rPr>
                <w:rFonts w:ascii="Calibri" w:hAnsi="Calibri"/>
                <w:sz w:val="20"/>
                <w:szCs w:val="20"/>
                <w:highlight w:val="yellow"/>
              </w:rPr>
              <w:t xml:space="preserve"> (≤6 cycles: 3.3%, &gt; 6cycles: 6.4%: p=0.046).</w:t>
            </w:r>
            <w:r w:rsidRPr="00152F5C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152F5C">
              <w:rPr>
                <w:rFonts w:ascii="Calibri" w:hAnsi="Calibri"/>
                <w:sz w:val="20"/>
                <w:szCs w:val="20"/>
                <w:highlight w:val="lightGray"/>
              </w:rPr>
              <w:t>No</w:t>
            </w:r>
            <w:r w:rsidRPr="00152F5C">
              <w:rPr>
                <w:rFonts w:ascii="Calibri" w:hAnsi="Calibri"/>
                <w:sz w:val="20"/>
                <w:szCs w:val="20"/>
              </w:rPr>
              <w:t xml:space="preserve"> statistically significant differences in any </w:t>
            </w:r>
            <w:r w:rsidRPr="00152F5C">
              <w:rPr>
                <w:rFonts w:ascii="Calibri" w:hAnsi="Calibri"/>
                <w:sz w:val="20"/>
                <w:szCs w:val="20"/>
                <w:highlight w:val="lightGray"/>
              </w:rPr>
              <w:t>other</w:t>
            </w:r>
            <w:r w:rsidRPr="00152F5C">
              <w:rPr>
                <w:rFonts w:ascii="Calibri" w:hAnsi="Calibri"/>
                <w:sz w:val="20"/>
                <w:szCs w:val="20"/>
              </w:rPr>
              <w:t xml:space="preserve"> individual Grade 3/4/5 adverse reactions were seen </w:t>
            </w:r>
            <w:r w:rsidRPr="00152F5C">
              <w:rPr>
                <w:rFonts w:ascii="Calibri" w:hAnsi="Calibri"/>
                <w:sz w:val="20"/>
                <w:szCs w:val="20"/>
                <w:highlight w:val="lightGray"/>
              </w:rPr>
              <w:t>with longer exposure</w:t>
            </w:r>
            <w:r w:rsidRPr="00152F5C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E51847" w:rsidRPr="00152F5C" w:rsidRDefault="00E51847" w:rsidP="00B17DA9">
            <w:pPr>
              <w:pStyle w:val="Style1"/>
              <w:adjustRightInd w:val="0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E51847" w:rsidTr="00E51847">
        <w:tblPrEx>
          <w:tblW w:w="10347" w:type="dxa"/>
          <w:jc w:val="center"/>
          <w:tblInd w:w="-6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  <w:tblPrExChange w:id="1" w:author="Eli Lilly and Company Israel" w:date="2012-05-02T09:10:00Z">
            <w:tblPrEx>
              <w:tblW w:w="10347" w:type="dxa"/>
              <w:jc w:val="center"/>
              <w:tblInd w:w="-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Ex>
          </w:tblPrExChange>
        </w:tblPrEx>
        <w:trPr>
          <w:jc w:val="center"/>
          <w:trPrChange w:id="2" w:author="Eli Lilly and Company Israel" w:date="2012-05-02T09:10:00Z">
            <w:trPr>
              <w:gridBefore w:val="2"/>
              <w:jc w:val="center"/>
            </w:trPr>
          </w:trPrChange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tcPrChange w:id="3" w:author="Eli Lilly and Company Israel" w:date="2012-05-02T09:10:00Z">
              <w:tcPr>
                <w:tcW w:w="1799" w:type="dxa"/>
                <w:tcBorders>
                  <w:top w:val="single" w:sz="4" w:space="0" w:color="auto"/>
                </w:tcBorders>
              </w:tcPr>
            </w:tcPrChange>
          </w:tcPr>
          <w:p w:rsidR="00856585" w:rsidRDefault="00856585" w:rsidP="00856585">
            <w:pPr>
              <w:pStyle w:val="PLRHeading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B95E0C">
              <w:rPr>
                <w:rFonts w:ascii="Calibri" w:hAnsi="Calibri"/>
              </w:rPr>
              <w:t>.</w:t>
            </w:r>
            <w:r w:rsidRPr="00B95E0C" w:rsidDel="00F7361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8</w:t>
            </w:r>
            <w:r w:rsidRPr="00B95E0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UNDESIRABLE  EFFECTS</w:t>
            </w:r>
          </w:p>
          <w:p w:rsidR="00E51847" w:rsidRDefault="00E51847" w:rsidP="00E51847">
            <w:pPr>
              <w:pStyle w:val="PLRHeading2"/>
              <w:rPr>
                <w:rFonts w:ascii="Calibri" w:hAnsi="Calibri"/>
              </w:rPr>
            </w:pPr>
          </w:p>
        </w:tc>
        <w:tc>
          <w:tcPr>
            <w:tcW w:w="4296" w:type="dxa"/>
            <w:tcBorders>
              <w:top w:val="single" w:sz="4" w:space="0" w:color="auto"/>
              <w:bottom w:val="single" w:sz="4" w:space="0" w:color="auto"/>
            </w:tcBorders>
            <w:tcPrChange w:id="4" w:author="Eli Lilly and Company Israel" w:date="2012-05-02T09:10:00Z">
              <w:tcPr>
                <w:tcW w:w="4296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:rsidR="00152F5C" w:rsidRPr="00152F5C" w:rsidRDefault="00152F5C" w:rsidP="00152F5C">
            <w:pPr>
              <w:pStyle w:val="TblFootnote"/>
              <w:tabs>
                <w:tab w:val="clear" w:pos="259"/>
                <w:tab w:val="left" w:pos="0"/>
              </w:tabs>
              <w:ind w:left="0" w:firstLine="0"/>
              <w:rPr>
                <w:rFonts w:asciiTheme="minorHAnsi" w:hAnsiTheme="minorHAnsi" w:cs="Arial"/>
                <w:color w:val="000000"/>
              </w:rPr>
            </w:pPr>
            <w:r w:rsidRPr="00152F5C">
              <w:rPr>
                <w:rFonts w:asciiTheme="minorHAnsi" w:hAnsiTheme="minorHAnsi" w:cs="Arial"/>
                <w:color w:val="000000"/>
              </w:rPr>
              <w:t xml:space="preserve">Rare cases </w:t>
            </w:r>
            <w:r>
              <w:rPr>
                <w:rFonts w:asciiTheme="minorHAnsi" w:hAnsiTheme="minorHAnsi" w:cs="Arial"/>
                <w:color w:val="000000"/>
              </w:rPr>
              <w:t xml:space="preserve">of bullous conditions have been </w:t>
            </w:r>
            <w:r w:rsidRPr="00152F5C">
              <w:rPr>
                <w:rFonts w:asciiTheme="minorHAnsi" w:hAnsiTheme="minorHAnsi" w:cs="Arial"/>
                <w:color w:val="000000"/>
              </w:rPr>
              <w:t xml:space="preserve">reported including Stevens-Johnson syndrome and Toxic epidermal </w:t>
            </w:r>
            <w:proofErr w:type="spellStart"/>
            <w:r w:rsidRPr="00152F5C">
              <w:rPr>
                <w:rFonts w:asciiTheme="minorHAnsi" w:hAnsiTheme="minorHAnsi" w:cs="Arial"/>
                <w:color w:val="000000"/>
              </w:rPr>
              <w:t>necrolysis</w:t>
            </w:r>
            <w:proofErr w:type="spellEnd"/>
            <w:r w:rsidRPr="00152F5C">
              <w:rPr>
                <w:rFonts w:asciiTheme="minorHAnsi" w:hAnsiTheme="minorHAnsi" w:cs="Arial"/>
                <w:color w:val="000000"/>
              </w:rPr>
              <w:t xml:space="preserve"> which in some cases were fatal.</w:t>
            </w:r>
          </w:p>
          <w:p w:rsidR="00152F5C" w:rsidRPr="00152F5C" w:rsidRDefault="00152F5C" w:rsidP="00152F5C">
            <w:pPr>
              <w:pStyle w:val="TblFootnote"/>
              <w:rPr>
                <w:rFonts w:asciiTheme="minorHAnsi" w:hAnsiTheme="minorHAnsi" w:cs="Arial"/>
                <w:color w:val="000000"/>
              </w:rPr>
            </w:pPr>
          </w:p>
          <w:p w:rsidR="00152F5C" w:rsidRPr="00152F5C" w:rsidRDefault="00152F5C" w:rsidP="00152F5C">
            <w:pPr>
              <w:pStyle w:val="TblFootnote"/>
              <w:tabs>
                <w:tab w:val="clear" w:pos="259"/>
                <w:tab w:val="left" w:pos="0"/>
              </w:tabs>
              <w:ind w:left="54" w:firstLine="0"/>
              <w:rPr>
                <w:rFonts w:asciiTheme="minorHAnsi" w:hAnsiTheme="minorHAnsi" w:cs="Arial"/>
                <w:color w:val="000000"/>
              </w:rPr>
            </w:pPr>
            <w:r w:rsidRPr="00152F5C">
              <w:rPr>
                <w:rFonts w:asciiTheme="minorHAnsi" w:hAnsiTheme="minorHAnsi" w:cs="Arial"/>
                <w:color w:val="000000"/>
              </w:rPr>
              <w:lastRenderedPageBreak/>
              <w:t xml:space="preserve">Rarely, </w:t>
            </w:r>
            <w:proofErr w:type="spellStart"/>
            <w:r w:rsidRPr="00152F5C">
              <w:rPr>
                <w:rFonts w:asciiTheme="minorHAnsi" w:hAnsiTheme="minorHAnsi" w:cs="Arial"/>
                <w:color w:val="000000"/>
              </w:rPr>
              <w:t>haemolytic</w:t>
            </w:r>
            <w:proofErr w:type="spellEnd"/>
            <w:r w:rsidRPr="00152F5C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152F5C">
              <w:rPr>
                <w:rFonts w:asciiTheme="minorHAnsi" w:hAnsiTheme="minorHAnsi" w:cs="Arial"/>
                <w:color w:val="000000"/>
              </w:rPr>
              <w:t>anaemia</w:t>
            </w:r>
            <w:proofErr w:type="spellEnd"/>
            <w:r w:rsidRPr="00152F5C">
              <w:rPr>
                <w:rFonts w:asciiTheme="minorHAnsi" w:hAnsiTheme="minorHAnsi" w:cs="Arial"/>
                <w:color w:val="000000"/>
              </w:rPr>
              <w:t xml:space="preserve"> has been reported in patients treated with </w:t>
            </w:r>
            <w:proofErr w:type="spellStart"/>
            <w:r w:rsidRPr="00152F5C">
              <w:rPr>
                <w:rFonts w:asciiTheme="minorHAnsi" w:hAnsiTheme="minorHAnsi" w:cs="Arial"/>
                <w:color w:val="000000"/>
              </w:rPr>
              <w:t>pemetrexed</w:t>
            </w:r>
            <w:proofErr w:type="spellEnd"/>
            <w:r w:rsidRPr="00152F5C">
              <w:rPr>
                <w:rFonts w:asciiTheme="minorHAnsi" w:hAnsiTheme="minorHAnsi" w:cs="Arial"/>
                <w:color w:val="000000"/>
              </w:rPr>
              <w:t>.</w:t>
            </w:r>
          </w:p>
          <w:p w:rsidR="00E51847" w:rsidRPr="004C2AAE" w:rsidRDefault="00E51847" w:rsidP="00A30E90">
            <w:pPr>
              <w:pStyle w:val="mdTblEntryL"/>
              <w:rPr>
                <w:szCs w:val="24"/>
                <w:rtl/>
                <w:lang w:bidi="he-IL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5" w:author="Eli Lilly and Company Israel" w:date="2012-05-02T09:10:00Z">
              <w:tcPr>
                <w:tcW w:w="425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</w:tcPrChange>
          </w:tcPr>
          <w:p w:rsidR="00152F5C" w:rsidRPr="00152F5C" w:rsidRDefault="00152F5C" w:rsidP="00152F5C">
            <w:pPr>
              <w:pStyle w:val="TblFootnote"/>
              <w:tabs>
                <w:tab w:val="clear" w:pos="259"/>
                <w:tab w:val="left" w:pos="0"/>
              </w:tabs>
              <w:ind w:left="0" w:firstLine="0"/>
              <w:rPr>
                <w:rFonts w:ascii="Calibri" w:hAnsi="Calibri" w:cs="Arial"/>
                <w:color w:val="000000"/>
              </w:rPr>
            </w:pPr>
            <w:r w:rsidRPr="00152F5C">
              <w:rPr>
                <w:rFonts w:ascii="Calibri" w:hAnsi="Calibri" w:cs="Arial"/>
                <w:color w:val="000000"/>
              </w:rPr>
              <w:lastRenderedPageBreak/>
              <w:t xml:space="preserve">Rare cases of bullous conditions have been reported including Stevens-Johnson syndrome and Toxic epidermal </w:t>
            </w:r>
            <w:proofErr w:type="spellStart"/>
            <w:r w:rsidRPr="00152F5C">
              <w:rPr>
                <w:rFonts w:ascii="Calibri" w:hAnsi="Calibri" w:cs="Arial"/>
                <w:color w:val="000000"/>
              </w:rPr>
              <w:t>necrolysis</w:t>
            </w:r>
            <w:proofErr w:type="spellEnd"/>
            <w:r w:rsidRPr="00152F5C">
              <w:rPr>
                <w:rFonts w:ascii="Calibri" w:hAnsi="Calibri" w:cs="Arial"/>
                <w:color w:val="000000"/>
              </w:rPr>
              <w:t xml:space="preserve"> which in some cases were fatal.</w:t>
            </w:r>
          </w:p>
          <w:p w:rsidR="00152F5C" w:rsidRPr="00152F5C" w:rsidRDefault="00152F5C" w:rsidP="00152F5C">
            <w:pPr>
              <w:pStyle w:val="TblFootnote"/>
              <w:rPr>
                <w:rFonts w:ascii="Calibri" w:hAnsi="Calibri" w:cs="Arial"/>
                <w:color w:val="000000"/>
              </w:rPr>
            </w:pPr>
          </w:p>
          <w:p w:rsidR="00152F5C" w:rsidRPr="00152F5C" w:rsidRDefault="00152F5C" w:rsidP="00152F5C">
            <w:pPr>
              <w:pStyle w:val="TblFootnote"/>
              <w:tabs>
                <w:tab w:val="clear" w:pos="259"/>
                <w:tab w:val="left" w:pos="0"/>
              </w:tabs>
              <w:ind w:left="54" w:firstLine="0"/>
              <w:rPr>
                <w:rFonts w:ascii="Calibri" w:hAnsi="Calibri" w:cs="Arial"/>
                <w:color w:val="000000"/>
              </w:rPr>
            </w:pPr>
            <w:r w:rsidRPr="00152F5C">
              <w:rPr>
                <w:rFonts w:ascii="Calibri" w:hAnsi="Calibri" w:cs="Arial"/>
                <w:color w:val="000000"/>
              </w:rPr>
              <w:lastRenderedPageBreak/>
              <w:t xml:space="preserve">Rarely, </w:t>
            </w:r>
            <w:proofErr w:type="spellStart"/>
            <w:r w:rsidRPr="00152F5C">
              <w:rPr>
                <w:rFonts w:ascii="Calibri" w:hAnsi="Calibri" w:cs="Arial"/>
                <w:color w:val="000000"/>
              </w:rPr>
              <w:t>haemolytic</w:t>
            </w:r>
            <w:proofErr w:type="spellEnd"/>
            <w:r w:rsidRPr="00152F5C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152F5C">
              <w:rPr>
                <w:rFonts w:ascii="Calibri" w:hAnsi="Calibri" w:cs="Arial"/>
                <w:color w:val="000000"/>
              </w:rPr>
              <w:t>anaemia</w:t>
            </w:r>
            <w:proofErr w:type="spellEnd"/>
            <w:r w:rsidRPr="00152F5C">
              <w:rPr>
                <w:rFonts w:ascii="Calibri" w:hAnsi="Calibri" w:cs="Arial"/>
                <w:color w:val="000000"/>
              </w:rPr>
              <w:t xml:space="preserve"> has been reported in patients treated with </w:t>
            </w:r>
            <w:proofErr w:type="spellStart"/>
            <w:r w:rsidRPr="00152F5C">
              <w:rPr>
                <w:rFonts w:ascii="Calibri" w:hAnsi="Calibri" w:cs="Arial"/>
                <w:color w:val="000000"/>
              </w:rPr>
              <w:t>pemetrexed</w:t>
            </w:r>
            <w:proofErr w:type="spellEnd"/>
            <w:r w:rsidRPr="00152F5C">
              <w:rPr>
                <w:rFonts w:ascii="Calibri" w:hAnsi="Calibri" w:cs="Arial"/>
                <w:color w:val="000000"/>
              </w:rPr>
              <w:t>.</w:t>
            </w:r>
          </w:p>
          <w:p w:rsidR="00152F5C" w:rsidRPr="00152F5C" w:rsidRDefault="00152F5C" w:rsidP="00152F5C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2F5C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Rare cases of anaphylactic shock have been reported.</w:t>
            </w:r>
          </w:p>
          <w:p w:rsidR="00E51847" w:rsidRPr="00152F5C" w:rsidRDefault="00E51847" w:rsidP="00152F5C">
            <w:pPr>
              <w:ind w:left="284" w:hanging="284"/>
              <w:jc w:val="right"/>
              <w:rPr>
                <w:iCs/>
              </w:rPr>
            </w:pPr>
          </w:p>
        </w:tc>
      </w:tr>
    </w:tbl>
    <w:p w:rsidR="00990AA9" w:rsidRDefault="00990AA9" w:rsidP="00E51847">
      <w:pPr>
        <w:spacing w:line="360" w:lineRule="auto"/>
        <w:jc w:val="right"/>
        <w:rPr>
          <w:rFonts w:ascii="Calibri" w:hAnsi="Calibri"/>
          <w:b/>
          <w:bCs/>
          <w:sz w:val="20"/>
          <w:szCs w:val="20"/>
          <w:rtl/>
          <w:lang w:val="en-GB"/>
        </w:rPr>
      </w:pPr>
    </w:p>
    <w:p w:rsidR="00E51847" w:rsidRDefault="00E51847" w:rsidP="00E51847">
      <w:pPr>
        <w:spacing w:line="360" w:lineRule="auto"/>
        <w:jc w:val="right"/>
        <w:rPr>
          <w:rFonts w:ascii="Calibri" w:hAnsi="Calibri"/>
          <w:b/>
          <w:bCs/>
          <w:sz w:val="20"/>
          <w:szCs w:val="20"/>
          <w:lang w:val="en-GB"/>
        </w:rPr>
      </w:pPr>
      <w:r w:rsidRPr="006C4DA2">
        <w:rPr>
          <w:rFonts w:ascii="Calibri" w:hAnsi="Calibri"/>
          <w:b/>
          <w:bCs/>
          <w:sz w:val="20"/>
          <w:szCs w:val="20"/>
          <w:lang w:val="en-GB"/>
        </w:rPr>
        <w:t>4.8 Undesirable Effects</w:t>
      </w:r>
    </w:p>
    <w:p w:rsidR="00E51847" w:rsidRPr="00B5195F" w:rsidRDefault="00E51847" w:rsidP="00C91B1B">
      <w:pPr>
        <w:pStyle w:val="Style1"/>
        <w:adjustRightInd w:val="0"/>
        <w:rPr>
          <w:lang w:val="en-GB"/>
        </w:rPr>
      </w:pPr>
      <w:r>
        <w:rPr>
          <w:rFonts w:ascii="Calibri" w:hAnsi="Calibri"/>
          <w:b/>
          <w:bCs/>
          <w:sz w:val="20"/>
          <w:lang w:val="en-GB"/>
        </w:rPr>
        <w:t xml:space="preserve">Current </w:t>
      </w:r>
      <w:r w:rsidRPr="00E51847">
        <w:rPr>
          <w:rFonts w:ascii="Calibri" w:hAnsi="Calibri"/>
          <w:b/>
          <w:bCs/>
          <w:sz w:val="20"/>
          <w:lang w:val="en-GB"/>
        </w:rPr>
        <w:t xml:space="preserve">Table </w:t>
      </w:r>
      <w:r w:rsidR="00C91B1B">
        <w:rPr>
          <w:rFonts w:ascii="Calibri" w:hAnsi="Calibri"/>
          <w:b/>
          <w:bCs/>
          <w:sz w:val="20"/>
          <w:lang w:val="en-GB"/>
        </w:rPr>
        <w:t>on page 14</w:t>
      </w:r>
      <w:r w:rsidRPr="00E51847">
        <w:rPr>
          <w:rFonts w:ascii="Calibri" w:hAnsi="Calibri"/>
          <w:b/>
          <w:bCs/>
          <w:sz w:val="20"/>
          <w:lang w:val="en-GB"/>
        </w:rPr>
        <w:t xml:space="preserve">: </w:t>
      </w:r>
    </w:p>
    <w:p w:rsidR="00E51847" w:rsidRPr="00E51847" w:rsidRDefault="00E51847" w:rsidP="00E51847">
      <w:pPr>
        <w:pStyle w:val="Style1"/>
        <w:adjustRightInd w:val="0"/>
        <w:rPr>
          <w:rFonts w:ascii="Calibri" w:hAnsi="Calibri"/>
          <w:b/>
          <w:bCs/>
          <w:sz w:val="20"/>
          <w:lang w:val="en-GB"/>
        </w:rPr>
      </w:pPr>
    </w:p>
    <w:tbl>
      <w:tblPr>
        <w:tblW w:w="926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377"/>
        <w:gridCol w:w="1718"/>
        <w:gridCol w:w="1391"/>
        <w:gridCol w:w="992"/>
        <w:gridCol w:w="999"/>
        <w:gridCol w:w="986"/>
      </w:tblGrid>
      <w:tr w:rsidR="007726DC" w:rsidRPr="00B824ED" w:rsidTr="007726DC">
        <w:trPr>
          <w:trHeight w:val="503"/>
        </w:trPr>
        <w:tc>
          <w:tcPr>
            <w:tcW w:w="1803" w:type="dxa"/>
            <w:vMerge w:val="restart"/>
            <w:shd w:val="clear" w:color="auto" w:fill="C0C0C0"/>
            <w:vAlign w:val="bottom"/>
          </w:tcPr>
          <w:p w:rsidR="007726DC" w:rsidRPr="00B824ED" w:rsidRDefault="007726DC" w:rsidP="007726DC">
            <w:pPr>
              <w:pStyle w:val="mdTblEntry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System organ class</w:t>
            </w:r>
          </w:p>
        </w:tc>
        <w:tc>
          <w:tcPr>
            <w:tcW w:w="1377" w:type="dxa"/>
            <w:vMerge w:val="restart"/>
            <w:shd w:val="clear" w:color="auto" w:fill="C0C0C0"/>
            <w:vAlign w:val="bottom"/>
          </w:tcPr>
          <w:p w:rsidR="007726DC" w:rsidRPr="00B824ED" w:rsidRDefault="007726DC" w:rsidP="007726DC">
            <w:pPr>
              <w:pStyle w:val="mdTblEntry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Frequency</w:t>
            </w:r>
            <w:r w:rsidRPr="00B824ED">
              <w:rPr>
                <w:b/>
                <w:position w:val="4"/>
                <w:sz w:val="22"/>
              </w:rPr>
              <w:t>*</w:t>
            </w:r>
          </w:p>
        </w:tc>
        <w:tc>
          <w:tcPr>
            <w:tcW w:w="1718" w:type="dxa"/>
            <w:vMerge w:val="restart"/>
            <w:shd w:val="clear" w:color="auto" w:fill="C0C0C0"/>
            <w:vAlign w:val="bottom"/>
          </w:tcPr>
          <w:p w:rsidR="007726DC" w:rsidRPr="00B824ED" w:rsidRDefault="007726DC" w:rsidP="007726DC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Event</w:t>
            </w:r>
            <w:r w:rsidRPr="00B824ED">
              <w:rPr>
                <w:b/>
                <w:position w:val="4"/>
                <w:sz w:val="22"/>
              </w:rPr>
              <w:t>**</w:t>
            </w:r>
          </w:p>
        </w:tc>
        <w:tc>
          <w:tcPr>
            <w:tcW w:w="2383" w:type="dxa"/>
            <w:gridSpan w:val="2"/>
            <w:shd w:val="clear" w:color="auto" w:fill="C0C0C0"/>
          </w:tcPr>
          <w:p w:rsidR="007726DC" w:rsidRPr="00B824ED" w:rsidRDefault="007726DC" w:rsidP="007726DC">
            <w:pPr>
              <w:pStyle w:val="mdTblEntry"/>
              <w:jc w:val="center"/>
              <w:rPr>
                <w:b/>
                <w:bCs/>
                <w:sz w:val="22"/>
              </w:rPr>
            </w:pPr>
            <w:proofErr w:type="spellStart"/>
            <w:r w:rsidRPr="00B824ED">
              <w:rPr>
                <w:b/>
                <w:bCs/>
                <w:sz w:val="22"/>
              </w:rPr>
              <w:t>Pemetrexed</w:t>
            </w:r>
            <w:proofErr w:type="spellEnd"/>
            <w:r w:rsidRPr="00B824ED">
              <w:rPr>
                <w:b/>
                <w:bCs/>
              </w:rPr>
              <w:t>***</w:t>
            </w:r>
          </w:p>
          <w:p w:rsidR="007726DC" w:rsidRPr="00B824ED" w:rsidRDefault="007726DC" w:rsidP="007726DC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(N =</w:t>
            </w:r>
            <w:r w:rsidRPr="00B824ED">
              <w:rPr>
                <w:b/>
                <w:bCs/>
              </w:rPr>
              <w:t>800</w:t>
            </w:r>
            <w:r w:rsidRPr="00B824ED">
              <w:rPr>
                <w:b/>
                <w:bCs/>
                <w:sz w:val="22"/>
              </w:rPr>
              <w:t>)</w:t>
            </w:r>
          </w:p>
        </w:tc>
        <w:tc>
          <w:tcPr>
            <w:tcW w:w="1985" w:type="dxa"/>
            <w:gridSpan w:val="2"/>
            <w:shd w:val="clear" w:color="auto" w:fill="C0C0C0"/>
          </w:tcPr>
          <w:p w:rsidR="007726DC" w:rsidRPr="00B824ED" w:rsidRDefault="007726DC" w:rsidP="007726DC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Placebo</w:t>
            </w:r>
            <w:r w:rsidRPr="00B824ED">
              <w:rPr>
                <w:b/>
                <w:bCs/>
              </w:rPr>
              <w:t>***</w:t>
            </w:r>
          </w:p>
          <w:p w:rsidR="007726DC" w:rsidRPr="00B824ED" w:rsidRDefault="007726DC" w:rsidP="007726DC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(N =</w:t>
            </w:r>
            <w:r w:rsidRPr="00B824ED">
              <w:rPr>
                <w:b/>
                <w:bCs/>
              </w:rPr>
              <w:t>402</w:t>
            </w:r>
            <w:r w:rsidRPr="00B824ED">
              <w:rPr>
                <w:b/>
                <w:bCs/>
                <w:sz w:val="22"/>
              </w:rPr>
              <w:t>)</w:t>
            </w:r>
          </w:p>
        </w:tc>
      </w:tr>
      <w:tr w:rsidR="007726DC" w:rsidRPr="00B824ED" w:rsidTr="007726DC">
        <w:trPr>
          <w:trHeight w:val="503"/>
        </w:trPr>
        <w:tc>
          <w:tcPr>
            <w:tcW w:w="1803" w:type="dxa"/>
            <w:vMerge/>
            <w:shd w:val="clear" w:color="auto" w:fill="C0C0C0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</w:p>
        </w:tc>
        <w:tc>
          <w:tcPr>
            <w:tcW w:w="1377" w:type="dxa"/>
            <w:vMerge/>
            <w:shd w:val="clear" w:color="auto" w:fill="C0C0C0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</w:p>
        </w:tc>
        <w:tc>
          <w:tcPr>
            <w:tcW w:w="1718" w:type="dxa"/>
            <w:vMerge/>
            <w:shd w:val="clear" w:color="auto" w:fill="C0C0C0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</w:p>
        </w:tc>
        <w:tc>
          <w:tcPr>
            <w:tcW w:w="1391" w:type="dxa"/>
            <w:shd w:val="clear" w:color="auto" w:fill="C0C0C0"/>
            <w:vAlign w:val="bottom"/>
          </w:tcPr>
          <w:p w:rsidR="007726DC" w:rsidRPr="00B824ED" w:rsidRDefault="007726DC" w:rsidP="007726DC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 xml:space="preserve">All grades toxicity </w:t>
            </w:r>
            <w:r w:rsidRPr="00B824ED">
              <w:rPr>
                <w:b/>
                <w:bCs/>
                <w:sz w:val="22"/>
              </w:rPr>
              <w:br/>
              <w:t>(%)</w:t>
            </w:r>
          </w:p>
        </w:tc>
        <w:tc>
          <w:tcPr>
            <w:tcW w:w="992" w:type="dxa"/>
            <w:shd w:val="clear" w:color="auto" w:fill="C0C0C0"/>
            <w:vAlign w:val="bottom"/>
          </w:tcPr>
          <w:p w:rsidR="007726DC" w:rsidRPr="00B824ED" w:rsidRDefault="007726DC" w:rsidP="007726DC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Grade 3 - 4 toxicity</w:t>
            </w:r>
          </w:p>
          <w:p w:rsidR="007726DC" w:rsidRPr="00B824ED" w:rsidRDefault="007726DC" w:rsidP="007726DC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(%)</w:t>
            </w:r>
          </w:p>
        </w:tc>
        <w:tc>
          <w:tcPr>
            <w:tcW w:w="999" w:type="dxa"/>
            <w:shd w:val="clear" w:color="auto" w:fill="C0C0C0"/>
            <w:vAlign w:val="bottom"/>
          </w:tcPr>
          <w:p w:rsidR="007726DC" w:rsidRPr="00B824ED" w:rsidRDefault="007726DC" w:rsidP="007726DC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All grades toxicity</w:t>
            </w:r>
          </w:p>
          <w:p w:rsidR="007726DC" w:rsidRPr="00B824ED" w:rsidRDefault="007726DC" w:rsidP="007726DC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(%)</w:t>
            </w:r>
          </w:p>
        </w:tc>
        <w:tc>
          <w:tcPr>
            <w:tcW w:w="986" w:type="dxa"/>
            <w:shd w:val="clear" w:color="auto" w:fill="C0C0C0"/>
            <w:vAlign w:val="bottom"/>
          </w:tcPr>
          <w:p w:rsidR="007726DC" w:rsidRPr="00B824ED" w:rsidRDefault="007726DC" w:rsidP="007726DC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Grade 3 - 4 toxicity</w:t>
            </w:r>
          </w:p>
          <w:p w:rsidR="007726DC" w:rsidRPr="00B824ED" w:rsidRDefault="007726DC" w:rsidP="007726DC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(%)</w:t>
            </w:r>
          </w:p>
        </w:tc>
      </w:tr>
      <w:tr w:rsidR="007726DC" w:rsidRPr="00B824ED" w:rsidTr="007726DC">
        <w:trPr>
          <w:trHeight w:val="277"/>
        </w:trPr>
        <w:tc>
          <w:tcPr>
            <w:tcW w:w="1803" w:type="dxa"/>
            <w:vMerge w:val="restart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Blood and lymphatic system disorders</w:t>
            </w:r>
          </w:p>
        </w:tc>
        <w:tc>
          <w:tcPr>
            <w:tcW w:w="1377" w:type="dxa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Very common</w:t>
            </w:r>
          </w:p>
        </w:tc>
        <w:tc>
          <w:tcPr>
            <w:tcW w:w="1718" w:type="dxa"/>
          </w:tcPr>
          <w:p w:rsidR="007726DC" w:rsidRPr="00B824ED" w:rsidRDefault="007726DC" w:rsidP="007726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textAlignment w:val="baseline"/>
              <w:rPr>
                <w:sz w:val="22"/>
              </w:rPr>
            </w:pPr>
            <w:r w:rsidRPr="00B824ED">
              <w:rPr>
                <w:sz w:val="22"/>
              </w:rPr>
              <w:t>Hemoglobin</w:t>
            </w:r>
          </w:p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decreased</w:t>
            </w:r>
          </w:p>
        </w:tc>
        <w:tc>
          <w:tcPr>
            <w:tcW w:w="1391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14.6</w:t>
            </w:r>
          </w:p>
        </w:tc>
        <w:tc>
          <w:tcPr>
            <w:tcW w:w="992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3.5</w:t>
            </w:r>
          </w:p>
        </w:tc>
        <w:tc>
          <w:tcPr>
            <w:tcW w:w="999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4.7</w:t>
            </w:r>
          </w:p>
        </w:tc>
        <w:tc>
          <w:tcPr>
            <w:tcW w:w="986" w:type="dxa"/>
          </w:tcPr>
          <w:p w:rsidR="007726DC" w:rsidRPr="00B824ED" w:rsidRDefault="007726DC" w:rsidP="007726DC">
            <w:pPr>
              <w:pStyle w:val="mdTblEntry"/>
              <w:jc w:val="center"/>
              <w:rPr>
                <w:sz w:val="22"/>
              </w:rPr>
            </w:pPr>
            <w:r w:rsidRPr="00B824ED">
              <w:rPr>
                <w:sz w:val="22"/>
              </w:rPr>
              <w:t>0.5</w:t>
            </w:r>
          </w:p>
        </w:tc>
      </w:tr>
      <w:tr w:rsidR="007726DC" w:rsidRPr="00B824ED" w:rsidTr="007726DC">
        <w:trPr>
          <w:trHeight w:val="277"/>
        </w:trPr>
        <w:tc>
          <w:tcPr>
            <w:tcW w:w="1803" w:type="dxa"/>
            <w:vMerge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</w:p>
        </w:tc>
        <w:tc>
          <w:tcPr>
            <w:tcW w:w="1377" w:type="dxa"/>
            <w:vMerge w:val="restart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Common</w:t>
            </w:r>
          </w:p>
        </w:tc>
        <w:tc>
          <w:tcPr>
            <w:tcW w:w="1718" w:type="dxa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Leukocytes</w:t>
            </w:r>
          </w:p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decreased</w:t>
            </w:r>
            <w:r w:rsidRPr="00B824ED">
              <w:t xml:space="preserve"> </w:t>
            </w:r>
          </w:p>
        </w:tc>
        <w:tc>
          <w:tcPr>
            <w:tcW w:w="1391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4.9</w:t>
            </w:r>
          </w:p>
        </w:tc>
        <w:tc>
          <w:tcPr>
            <w:tcW w:w="992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1.6</w:t>
            </w:r>
          </w:p>
        </w:tc>
        <w:tc>
          <w:tcPr>
            <w:tcW w:w="999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0.7</w:t>
            </w:r>
          </w:p>
        </w:tc>
        <w:tc>
          <w:tcPr>
            <w:tcW w:w="986" w:type="dxa"/>
          </w:tcPr>
          <w:p w:rsidR="007726DC" w:rsidRPr="00B824ED" w:rsidRDefault="007726DC" w:rsidP="007726DC">
            <w:pPr>
              <w:pStyle w:val="mdTblEntry"/>
              <w:jc w:val="center"/>
              <w:rPr>
                <w:sz w:val="22"/>
              </w:rPr>
            </w:pPr>
            <w:r w:rsidRPr="00B824ED">
              <w:rPr>
                <w:sz w:val="22"/>
              </w:rPr>
              <w:t>0.</w:t>
            </w:r>
            <w:r w:rsidRPr="00B824ED">
              <w:t>2</w:t>
            </w:r>
          </w:p>
        </w:tc>
      </w:tr>
      <w:tr w:rsidR="007726DC" w:rsidRPr="00B824ED" w:rsidTr="007726DC">
        <w:trPr>
          <w:trHeight w:val="277"/>
        </w:trPr>
        <w:tc>
          <w:tcPr>
            <w:tcW w:w="1803" w:type="dxa"/>
            <w:vMerge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</w:p>
        </w:tc>
        <w:tc>
          <w:tcPr>
            <w:tcW w:w="1377" w:type="dxa"/>
            <w:vMerge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</w:p>
        </w:tc>
        <w:tc>
          <w:tcPr>
            <w:tcW w:w="1718" w:type="dxa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Neutrophils</w:t>
            </w:r>
          </w:p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decreased</w:t>
            </w:r>
            <w:r w:rsidRPr="00B824ED">
              <w:t xml:space="preserve"> </w:t>
            </w:r>
          </w:p>
        </w:tc>
        <w:tc>
          <w:tcPr>
            <w:tcW w:w="1391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6.9</w:t>
            </w:r>
          </w:p>
        </w:tc>
        <w:tc>
          <w:tcPr>
            <w:tcW w:w="992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3.3</w:t>
            </w:r>
          </w:p>
        </w:tc>
        <w:tc>
          <w:tcPr>
            <w:tcW w:w="999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0.2</w:t>
            </w:r>
          </w:p>
        </w:tc>
        <w:tc>
          <w:tcPr>
            <w:tcW w:w="986" w:type="dxa"/>
          </w:tcPr>
          <w:p w:rsidR="007726DC" w:rsidRPr="00B824ED" w:rsidRDefault="007726DC" w:rsidP="007726DC">
            <w:pPr>
              <w:pStyle w:val="mdTblEntry"/>
              <w:jc w:val="center"/>
              <w:rPr>
                <w:sz w:val="22"/>
              </w:rPr>
            </w:pPr>
            <w:r w:rsidRPr="00B824ED">
              <w:rPr>
                <w:sz w:val="22"/>
              </w:rPr>
              <w:t>0.0</w:t>
            </w:r>
          </w:p>
        </w:tc>
      </w:tr>
      <w:tr w:rsidR="007726DC" w:rsidRPr="00B824ED" w:rsidTr="007726DC">
        <w:trPr>
          <w:trHeight w:val="97"/>
        </w:trPr>
        <w:tc>
          <w:tcPr>
            <w:tcW w:w="1803" w:type="dxa"/>
            <w:vAlign w:val="bottom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Nervous system disorders</w:t>
            </w:r>
          </w:p>
        </w:tc>
        <w:tc>
          <w:tcPr>
            <w:tcW w:w="1377" w:type="dxa"/>
            <w:vAlign w:val="bottom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Common</w:t>
            </w:r>
          </w:p>
        </w:tc>
        <w:tc>
          <w:tcPr>
            <w:tcW w:w="1718" w:type="dxa"/>
            <w:vAlign w:val="bottom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Neuropathy-sensory</w:t>
            </w:r>
          </w:p>
        </w:tc>
        <w:tc>
          <w:tcPr>
            <w:tcW w:w="1391" w:type="dxa"/>
            <w:vAlign w:val="bottom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6.1</w:t>
            </w:r>
          </w:p>
        </w:tc>
        <w:tc>
          <w:tcPr>
            <w:tcW w:w="992" w:type="dxa"/>
            <w:vAlign w:val="bottom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0.5</w:t>
            </w:r>
          </w:p>
        </w:tc>
        <w:tc>
          <w:tcPr>
            <w:tcW w:w="999" w:type="dxa"/>
            <w:vAlign w:val="bottom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4.5</w:t>
            </w:r>
          </w:p>
        </w:tc>
        <w:tc>
          <w:tcPr>
            <w:tcW w:w="986" w:type="dxa"/>
            <w:vAlign w:val="bottom"/>
          </w:tcPr>
          <w:p w:rsidR="007726DC" w:rsidRPr="00B824ED" w:rsidRDefault="007726DC" w:rsidP="007726DC">
            <w:pPr>
              <w:pStyle w:val="mdTblEntry"/>
              <w:jc w:val="center"/>
              <w:rPr>
                <w:sz w:val="22"/>
              </w:rPr>
            </w:pPr>
            <w:r w:rsidRPr="00B824ED">
              <w:rPr>
                <w:sz w:val="22"/>
              </w:rPr>
              <w:t>0.</w:t>
            </w:r>
            <w:r w:rsidRPr="00B824ED">
              <w:t>2</w:t>
            </w:r>
          </w:p>
        </w:tc>
      </w:tr>
      <w:tr w:rsidR="007726DC" w:rsidRPr="00B824ED" w:rsidTr="007726DC">
        <w:trPr>
          <w:trHeight w:val="292"/>
        </w:trPr>
        <w:tc>
          <w:tcPr>
            <w:tcW w:w="1803" w:type="dxa"/>
            <w:vMerge w:val="restart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Gastrointestinal  disorders</w:t>
            </w:r>
          </w:p>
        </w:tc>
        <w:tc>
          <w:tcPr>
            <w:tcW w:w="1377" w:type="dxa"/>
            <w:vMerge w:val="restart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Very common</w:t>
            </w:r>
          </w:p>
        </w:tc>
        <w:tc>
          <w:tcPr>
            <w:tcW w:w="1718" w:type="dxa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Nausea</w:t>
            </w:r>
          </w:p>
        </w:tc>
        <w:tc>
          <w:tcPr>
            <w:tcW w:w="1391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15.1</w:t>
            </w:r>
          </w:p>
        </w:tc>
        <w:tc>
          <w:tcPr>
            <w:tcW w:w="992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0.6</w:t>
            </w:r>
          </w:p>
        </w:tc>
        <w:tc>
          <w:tcPr>
            <w:tcW w:w="999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4.0</w:t>
            </w:r>
          </w:p>
        </w:tc>
        <w:tc>
          <w:tcPr>
            <w:tcW w:w="986" w:type="dxa"/>
          </w:tcPr>
          <w:p w:rsidR="007726DC" w:rsidRPr="00B824ED" w:rsidRDefault="007726DC" w:rsidP="007726DC">
            <w:pPr>
              <w:pStyle w:val="mdTblEntry"/>
              <w:jc w:val="center"/>
              <w:rPr>
                <w:sz w:val="22"/>
              </w:rPr>
            </w:pPr>
            <w:r w:rsidRPr="00B824ED">
              <w:rPr>
                <w:sz w:val="22"/>
              </w:rPr>
              <w:t>0.</w:t>
            </w:r>
            <w:r w:rsidRPr="00B824ED">
              <w:t>2</w:t>
            </w:r>
          </w:p>
        </w:tc>
      </w:tr>
      <w:tr w:rsidR="007726DC" w:rsidRPr="00B824ED" w:rsidTr="007726DC">
        <w:trPr>
          <w:trHeight w:val="292"/>
        </w:trPr>
        <w:tc>
          <w:tcPr>
            <w:tcW w:w="1803" w:type="dxa"/>
            <w:vMerge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</w:p>
        </w:tc>
        <w:tc>
          <w:tcPr>
            <w:tcW w:w="1377" w:type="dxa"/>
            <w:vMerge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</w:p>
        </w:tc>
        <w:tc>
          <w:tcPr>
            <w:tcW w:w="1718" w:type="dxa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Anorexia</w:t>
            </w:r>
          </w:p>
        </w:tc>
        <w:tc>
          <w:tcPr>
            <w:tcW w:w="1391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11.9</w:t>
            </w:r>
          </w:p>
        </w:tc>
        <w:tc>
          <w:tcPr>
            <w:tcW w:w="992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1.1</w:t>
            </w:r>
          </w:p>
        </w:tc>
        <w:tc>
          <w:tcPr>
            <w:tcW w:w="999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3.2</w:t>
            </w:r>
          </w:p>
        </w:tc>
        <w:tc>
          <w:tcPr>
            <w:tcW w:w="986" w:type="dxa"/>
          </w:tcPr>
          <w:p w:rsidR="007726DC" w:rsidRPr="00B824ED" w:rsidRDefault="007726DC" w:rsidP="007726DC">
            <w:pPr>
              <w:pStyle w:val="mdTblEntry"/>
              <w:jc w:val="center"/>
              <w:rPr>
                <w:sz w:val="22"/>
              </w:rPr>
            </w:pPr>
            <w:r w:rsidRPr="00B824ED">
              <w:rPr>
                <w:sz w:val="22"/>
              </w:rPr>
              <w:t>0.0</w:t>
            </w:r>
          </w:p>
        </w:tc>
      </w:tr>
      <w:tr w:rsidR="007726DC" w:rsidRPr="00B824ED" w:rsidTr="007726DC">
        <w:trPr>
          <w:trHeight w:val="97"/>
        </w:trPr>
        <w:tc>
          <w:tcPr>
            <w:tcW w:w="1803" w:type="dxa"/>
            <w:vMerge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</w:p>
        </w:tc>
        <w:tc>
          <w:tcPr>
            <w:tcW w:w="1377" w:type="dxa"/>
            <w:vMerge w:val="restart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Common</w:t>
            </w:r>
          </w:p>
        </w:tc>
        <w:tc>
          <w:tcPr>
            <w:tcW w:w="1718" w:type="dxa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Vomiting</w:t>
            </w:r>
          </w:p>
        </w:tc>
        <w:tc>
          <w:tcPr>
            <w:tcW w:w="1391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7.4</w:t>
            </w:r>
          </w:p>
        </w:tc>
        <w:tc>
          <w:tcPr>
            <w:tcW w:w="992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0.1</w:t>
            </w:r>
          </w:p>
        </w:tc>
        <w:tc>
          <w:tcPr>
            <w:tcW w:w="999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1.5</w:t>
            </w:r>
          </w:p>
        </w:tc>
        <w:tc>
          <w:tcPr>
            <w:tcW w:w="986" w:type="dxa"/>
          </w:tcPr>
          <w:p w:rsidR="007726DC" w:rsidRPr="00B824ED" w:rsidRDefault="007726DC" w:rsidP="007726DC">
            <w:pPr>
              <w:pStyle w:val="mdTblEntry"/>
              <w:jc w:val="center"/>
              <w:rPr>
                <w:sz w:val="22"/>
              </w:rPr>
            </w:pPr>
            <w:r w:rsidRPr="00B824ED">
              <w:rPr>
                <w:sz w:val="22"/>
              </w:rPr>
              <w:t>0.0</w:t>
            </w:r>
          </w:p>
        </w:tc>
      </w:tr>
      <w:tr w:rsidR="007726DC" w:rsidRPr="00B824ED" w:rsidTr="007726DC">
        <w:trPr>
          <w:trHeight w:val="97"/>
        </w:trPr>
        <w:tc>
          <w:tcPr>
            <w:tcW w:w="1803" w:type="dxa"/>
            <w:vMerge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</w:p>
        </w:tc>
        <w:tc>
          <w:tcPr>
            <w:tcW w:w="1377" w:type="dxa"/>
            <w:vMerge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</w:p>
        </w:tc>
        <w:tc>
          <w:tcPr>
            <w:tcW w:w="1718" w:type="dxa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proofErr w:type="spellStart"/>
            <w:r w:rsidRPr="00B824ED">
              <w:rPr>
                <w:sz w:val="22"/>
              </w:rPr>
              <w:t>Mucositis</w:t>
            </w:r>
            <w:proofErr w:type="spellEnd"/>
            <w:r w:rsidRPr="00B824ED">
              <w:rPr>
                <w:sz w:val="22"/>
              </w:rPr>
              <w:t xml:space="preserve">/ </w:t>
            </w:r>
            <w:proofErr w:type="spellStart"/>
            <w:r w:rsidRPr="00B824ED">
              <w:rPr>
                <w:sz w:val="22"/>
              </w:rPr>
              <w:t>stomatitis</w:t>
            </w:r>
            <w:proofErr w:type="spellEnd"/>
          </w:p>
        </w:tc>
        <w:tc>
          <w:tcPr>
            <w:tcW w:w="1391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6.0</w:t>
            </w:r>
          </w:p>
        </w:tc>
        <w:tc>
          <w:tcPr>
            <w:tcW w:w="992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0.5</w:t>
            </w:r>
          </w:p>
        </w:tc>
        <w:tc>
          <w:tcPr>
            <w:tcW w:w="999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1.7</w:t>
            </w:r>
          </w:p>
        </w:tc>
        <w:tc>
          <w:tcPr>
            <w:tcW w:w="986" w:type="dxa"/>
          </w:tcPr>
          <w:p w:rsidR="007726DC" w:rsidRPr="00B824ED" w:rsidRDefault="007726DC" w:rsidP="007726DC">
            <w:pPr>
              <w:pStyle w:val="mdTblEntry"/>
              <w:jc w:val="center"/>
              <w:rPr>
                <w:sz w:val="22"/>
              </w:rPr>
            </w:pPr>
            <w:r w:rsidRPr="00B824ED">
              <w:rPr>
                <w:sz w:val="22"/>
              </w:rPr>
              <w:t>0.0</w:t>
            </w:r>
          </w:p>
        </w:tc>
      </w:tr>
      <w:tr w:rsidR="007726DC" w:rsidRPr="00B824ED" w:rsidTr="007726DC">
        <w:trPr>
          <w:trHeight w:val="97"/>
        </w:trPr>
        <w:tc>
          <w:tcPr>
            <w:tcW w:w="1803" w:type="dxa"/>
            <w:vMerge w:val="restart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proofErr w:type="spellStart"/>
            <w:r w:rsidRPr="00B824ED">
              <w:rPr>
                <w:sz w:val="22"/>
              </w:rPr>
              <w:t>Hepatobiliary</w:t>
            </w:r>
            <w:proofErr w:type="spellEnd"/>
            <w:r w:rsidRPr="00B824ED">
              <w:rPr>
                <w:sz w:val="22"/>
              </w:rPr>
              <w:t xml:space="preserve"> disorders</w:t>
            </w:r>
          </w:p>
        </w:tc>
        <w:tc>
          <w:tcPr>
            <w:tcW w:w="1377" w:type="dxa"/>
            <w:vMerge w:val="restart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Common</w:t>
            </w:r>
          </w:p>
        </w:tc>
        <w:tc>
          <w:tcPr>
            <w:tcW w:w="1718" w:type="dxa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ALT (SGPT)</w:t>
            </w:r>
            <w:r w:rsidRPr="00B824ED">
              <w:t xml:space="preserve"> elevation</w:t>
            </w:r>
          </w:p>
        </w:tc>
        <w:tc>
          <w:tcPr>
            <w:tcW w:w="1391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6.3</w:t>
            </w:r>
          </w:p>
        </w:tc>
        <w:tc>
          <w:tcPr>
            <w:tcW w:w="992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0.1</w:t>
            </w:r>
          </w:p>
        </w:tc>
        <w:tc>
          <w:tcPr>
            <w:tcW w:w="999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2.2</w:t>
            </w:r>
          </w:p>
        </w:tc>
        <w:tc>
          <w:tcPr>
            <w:tcW w:w="986" w:type="dxa"/>
          </w:tcPr>
          <w:p w:rsidR="007726DC" w:rsidRPr="00B824ED" w:rsidRDefault="007726DC" w:rsidP="007726DC">
            <w:pPr>
              <w:pStyle w:val="mdTblEntry"/>
              <w:jc w:val="center"/>
              <w:rPr>
                <w:sz w:val="22"/>
              </w:rPr>
            </w:pPr>
            <w:r w:rsidRPr="00B824ED">
              <w:rPr>
                <w:sz w:val="22"/>
              </w:rPr>
              <w:t>0.0</w:t>
            </w:r>
          </w:p>
        </w:tc>
      </w:tr>
      <w:tr w:rsidR="007726DC" w:rsidRPr="00B824ED" w:rsidTr="007726DC">
        <w:trPr>
          <w:trHeight w:val="97"/>
        </w:trPr>
        <w:tc>
          <w:tcPr>
            <w:tcW w:w="1803" w:type="dxa"/>
            <w:vMerge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</w:p>
        </w:tc>
        <w:tc>
          <w:tcPr>
            <w:tcW w:w="1377" w:type="dxa"/>
            <w:vMerge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</w:p>
        </w:tc>
        <w:tc>
          <w:tcPr>
            <w:tcW w:w="1718" w:type="dxa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AST (SGOT)</w:t>
            </w:r>
            <w:r w:rsidRPr="00B824ED">
              <w:t xml:space="preserve"> elevation</w:t>
            </w:r>
          </w:p>
        </w:tc>
        <w:tc>
          <w:tcPr>
            <w:tcW w:w="1391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5.4</w:t>
            </w:r>
          </w:p>
        </w:tc>
        <w:tc>
          <w:tcPr>
            <w:tcW w:w="992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0.0</w:t>
            </w:r>
          </w:p>
        </w:tc>
        <w:tc>
          <w:tcPr>
            <w:tcW w:w="999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1.7</w:t>
            </w:r>
          </w:p>
        </w:tc>
        <w:tc>
          <w:tcPr>
            <w:tcW w:w="986" w:type="dxa"/>
          </w:tcPr>
          <w:p w:rsidR="007726DC" w:rsidRPr="00B824ED" w:rsidRDefault="007726DC" w:rsidP="007726DC">
            <w:pPr>
              <w:pStyle w:val="mdTblEntry"/>
              <w:jc w:val="center"/>
              <w:rPr>
                <w:sz w:val="22"/>
              </w:rPr>
            </w:pPr>
            <w:r w:rsidRPr="00B824ED">
              <w:rPr>
                <w:sz w:val="22"/>
              </w:rPr>
              <w:t>0.0</w:t>
            </w:r>
          </w:p>
        </w:tc>
      </w:tr>
      <w:tr w:rsidR="007726DC" w:rsidRPr="00B824ED" w:rsidTr="007726DC">
        <w:trPr>
          <w:trHeight w:val="97"/>
        </w:trPr>
        <w:tc>
          <w:tcPr>
            <w:tcW w:w="1803" w:type="dxa"/>
            <w:vAlign w:val="bottom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Skin and subcutaneous</w:t>
            </w:r>
            <w:r w:rsidRPr="00B824ED">
              <w:rPr>
                <w:sz w:val="22"/>
              </w:rPr>
              <w:br/>
              <w:t>tissue disorders</w:t>
            </w:r>
          </w:p>
        </w:tc>
        <w:tc>
          <w:tcPr>
            <w:tcW w:w="1377" w:type="dxa"/>
            <w:vAlign w:val="bottom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>
              <w:rPr>
                <w:sz w:val="22"/>
              </w:rPr>
              <w:t>C</w:t>
            </w:r>
            <w:r w:rsidRPr="00B824ED">
              <w:rPr>
                <w:sz w:val="22"/>
              </w:rPr>
              <w:t>ommon</w:t>
            </w:r>
          </w:p>
        </w:tc>
        <w:tc>
          <w:tcPr>
            <w:tcW w:w="1718" w:type="dxa"/>
            <w:vAlign w:val="bottom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Rash/ desquamation</w:t>
            </w:r>
          </w:p>
        </w:tc>
        <w:tc>
          <w:tcPr>
            <w:tcW w:w="1391" w:type="dxa"/>
            <w:vAlign w:val="bottom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7.6</w:t>
            </w:r>
          </w:p>
        </w:tc>
        <w:tc>
          <w:tcPr>
            <w:tcW w:w="992" w:type="dxa"/>
            <w:vAlign w:val="bottom"/>
          </w:tcPr>
          <w:p w:rsidR="007726DC" w:rsidRPr="004161BF" w:rsidRDefault="007726DC" w:rsidP="007726DC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0.1</w:t>
            </w:r>
          </w:p>
        </w:tc>
        <w:tc>
          <w:tcPr>
            <w:tcW w:w="999" w:type="dxa"/>
            <w:vAlign w:val="bottom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3.2</w:t>
            </w:r>
          </w:p>
        </w:tc>
        <w:tc>
          <w:tcPr>
            <w:tcW w:w="986" w:type="dxa"/>
            <w:vAlign w:val="bottom"/>
          </w:tcPr>
          <w:p w:rsidR="007726DC" w:rsidRPr="00B824ED" w:rsidRDefault="007726DC" w:rsidP="007726DC">
            <w:pPr>
              <w:pStyle w:val="mdTblEntry"/>
              <w:jc w:val="center"/>
              <w:rPr>
                <w:sz w:val="22"/>
              </w:rPr>
            </w:pPr>
            <w:r w:rsidRPr="00B824ED">
              <w:rPr>
                <w:sz w:val="22"/>
              </w:rPr>
              <w:t>0.0</w:t>
            </w:r>
          </w:p>
        </w:tc>
      </w:tr>
      <w:tr w:rsidR="007726DC" w:rsidRPr="00B824ED" w:rsidTr="007726DC">
        <w:trPr>
          <w:trHeight w:val="97"/>
        </w:trPr>
        <w:tc>
          <w:tcPr>
            <w:tcW w:w="1803" w:type="dxa"/>
            <w:vMerge w:val="restart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General disorders and administration site conditions</w:t>
            </w:r>
          </w:p>
        </w:tc>
        <w:tc>
          <w:tcPr>
            <w:tcW w:w="1377" w:type="dxa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Very common</w:t>
            </w:r>
          </w:p>
        </w:tc>
        <w:tc>
          <w:tcPr>
            <w:tcW w:w="1718" w:type="dxa"/>
          </w:tcPr>
          <w:p w:rsidR="007726DC" w:rsidRPr="00B824ED" w:rsidRDefault="007726DC" w:rsidP="007726DC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Fatigue</w:t>
            </w:r>
          </w:p>
        </w:tc>
        <w:tc>
          <w:tcPr>
            <w:tcW w:w="1391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20.8</w:t>
            </w:r>
          </w:p>
        </w:tc>
        <w:tc>
          <w:tcPr>
            <w:tcW w:w="992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4.6</w:t>
            </w:r>
          </w:p>
        </w:tc>
        <w:tc>
          <w:tcPr>
            <w:tcW w:w="999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10.4</w:t>
            </w:r>
          </w:p>
        </w:tc>
        <w:tc>
          <w:tcPr>
            <w:tcW w:w="986" w:type="dxa"/>
          </w:tcPr>
          <w:p w:rsidR="007726DC" w:rsidRPr="004161BF" w:rsidRDefault="007726DC" w:rsidP="007726DC">
            <w:pPr>
              <w:pStyle w:val="mdTblEntry"/>
              <w:jc w:val="center"/>
              <w:rPr>
                <w:strike/>
                <w:sz w:val="22"/>
              </w:rPr>
            </w:pPr>
            <w:r w:rsidRPr="004161BF">
              <w:rPr>
                <w:strike/>
                <w:sz w:val="22"/>
              </w:rPr>
              <w:t>0.5</w:t>
            </w:r>
          </w:p>
        </w:tc>
      </w:tr>
      <w:tr w:rsidR="007726DC" w:rsidRPr="002D3D0F" w:rsidTr="007726DC">
        <w:trPr>
          <w:trHeight w:val="97"/>
        </w:trPr>
        <w:tc>
          <w:tcPr>
            <w:tcW w:w="1803" w:type="dxa"/>
            <w:vMerge/>
          </w:tcPr>
          <w:p w:rsidR="007726DC" w:rsidRPr="00B824ED" w:rsidRDefault="007726DC" w:rsidP="007726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textAlignment w:val="baseline"/>
              <w:rPr>
                <w:szCs w:val="20"/>
              </w:rPr>
            </w:pPr>
          </w:p>
        </w:tc>
        <w:tc>
          <w:tcPr>
            <w:tcW w:w="1377" w:type="dxa"/>
          </w:tcPr>
          <w:p w:rsidR="007726DC" w:rsidRPr="00B824ED" w:rsidRDefault="007726DC" w:rsidP="007726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textAlignment w:val="baseline"/>
              <w:rPr>
                <w:sz w:val="22"/>
                <w:szCs w:val="18"/>
              </w:rPr>
            </w:pPr>
            <w:r w:rsidRPr="00B824ED">
              <w:rPr>
                <w:sz w:val="22"/>
                <w:szCs w:val="18"/>
              </w:rPr>
              <w:t>Common</w:t>
            </w:r>
          </w:p>
        </w:tc>
        <w:tc>
          <w:tcPr>
            <w:tcW w:w="1718" w:type="dxa"/>
          </w:tcPr>
          <w:p w:rsidR="007726DC" w:rsidRPr="00B824ED" w:rsidRDefault="007726DC" w:rsidP="007726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ind w:left="960" w:hanging="240"/>
              <w:jc w:val="right"/>
              <w:textAlignment w:val="baseline"/>
              <w:rPr>
                <w:sz w:val="22"/>
                <w:szCs w:val="18"/>
              </w:rPr>
            </w:pPr>
            <w:r w:rsidRPr="00B824ED">
              <w:rPr>
                <w:sz w:val="22"/>
                <w:szCs w:val="18"/>
              </w:rPr>
              <w:t>Pain</w:t>
            </w:r>
          </w:p>
        </w:tc>
        <w:tc>
          <w:tcPr>
            <w:tcW w:w="1391" w:type="dxa"/>
          </w:tcPr>
          <w:p w:rsidR="007726DC" w:rsidRPr="004161BF" w:rsidRDefault="007726DC" w:rsidP="007726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ind w:left="601" w:right="-246" w:hanging="601"/>
              <w:jc w:val="center"/>
              <w:textAlignment w:val="baseline"/>
              <w:rPr>
                <w:strike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      </w:t>
            </w:r>
            <w:r w:rsidRPr="004161BF">
              <w:rPr>
                <w:strike/>
                <w:sz w:val="22"/>
                <w:szCs w:val="18"/>
              </w:rPr>
              <w:t xml:space="preserve">6.6   </w:t>
            </w:r>
          </w:p>
        </w:tc>
        <w:tc>
          <w:tcPr>
            <w:tcW w:w="992" w:type="dxa"/>
          </w:tcPr>
          <w:p w:rsidR="007726DC" w:rsidRPr="004161BF" w:rsidRDefault="007726DC" w:rsidP="007726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jc w:val="center"/>
              <w:textAlignment w:val="baseline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0.6</w:t>
            </w:r>
          </w:p>
        </w:tc>
        <w:tc>
          <w:tcPr>
            <w:tcW w:w="999" w:type="dxa"/>
          </w:tcPr>
          <w:p w:rsidR="007726DC" w:rsidRPr="004161BF" w:rsidRDefault="007726DC" w:rsidP="007726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ind w:left="240" w:hanging="240"/>
              <w:jc w:val="center"/>
              <w:textAlignment w:val="baseline"/>
              <w:rPr>
                <w:strike/>
                <w:sz w:val="22"/>
                <w:szCs w:val="22"/>
              </w:rPr>
            </w:pPr>
            <w:r w:rsidRPr="004161BF">
              <w:rPr>
                <w:strike/>
                <w:sz w:val="22"/>
                <w:szCs w:val="22"/>
              </w:rPr>
              <w:t>4.2</w:t>
            </w:r>
          </w:p>
        </w:tc>
        <w:tc>
          <w:tcPr>
            <w:tcW w:w="986" w:type="dxa"/>
          </w:tcPr>
          <w:p w:rsidR="007726DC" w:rsidRPr="00B824ED" w:rsidRDefault="007726DC" w:rsidP="007726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jc w:val="center"/>
              <w:textAlignment w:val="baseline"/>
              <w:rPr>
                <w:sz w:val="22"/>
                <w:szCs w:val="18"/>
              </w:rPr>
            </w:pPr>
            <w:r w:rsidRPr="00B824ED">
              <w:rPr>
                <w:sz w:val="22"/>
                <w:szCs w:val="18"/>
              </w:rPr>
              <w:t>0.0</w:t>
            </w:r>
          </w:p>
        </w:tc>
      </w:tr>
    </w:tbl>
    <w:p w:rsidR="004161BF" w:rsidRPr="00B824ED" w:rsidRDefault="004161BF" w:rsidP="004161BF">
      <w:pPr>
        <w:pStyle w:val="TblFootnote"/>
        <w:tabs>
          <w:tab w:val="clear" w:pos="259"/>
        </w:tabs>
        <w:ind w:left="0" w:firstLine="0"/>
      </w:pPr>
      <w:r w:rsidRPr="00340954">
        <w:t xml:space="preserve">Abbreviations:  ALT = alanine </w:t>
      </w:r>
      <w:r w:rsidRPr="004161BF">
        <w:rPr>
          <w:strike/>
        </w:rPr>
        <w:t>transaminase</w:t>
      </w:r>
      <w:r w:rsidRPr="00340954">
        <w:t xml:space="preserve">; AST = aspartate </w:t>
      </w:r>
      <w:r w:rsidRPr="004161BF">
        <w:rPr>
          <w:strike/>
        </w:rPr>
        <w:t>transaminase</w:t>
      </w:r>
      <w:r w:rsidRPr="00340954">
        <w:t>; CTCAE = Common Terminology Criteria for Adverse Event; NCI = National Cancer Institute; SGO</w:t>
      </w:r>
      <w:r>
        <w:t xml:space="preserve">T = serum </w:t>
      </w:r>
      <w:proofErr w:type="spellStart"/>
      <w:r>
        <w:t>glutamic</w:t>
      </w:r>
      <w:proofErr w:type="spellEnd"/>
      <w:r>
        <w:t xml:space="preserve"> </w:t>
      </w:r>
      <w:proofErr w:type="spellStart"/>
      <w:r>
        <w:t>oxaloacectic</w:t>
      </w:r>
      <w:proofErr w:type="spellEnd"/>
      <w:r>
        <w:t xml:space="preserve"> </w:t>
      </w:r>
      <w:proofErr w:type="spellStart"/>
      <w:r w:rsidRPr="004161BF">
        <w:rPr>
          <w:strike/>
        </w:rPr>
        <w:t>transaminase</w:t>
      </w:r>
      <w:proofErr w:type="spellEnd"/>
      <w:r w:rsidRPr="00340954">
        <w:t xml:space="preserve">; </w:t>
      </w:r>
      <w:r w:rsidRPr="00B824ED">
        <w:t xml:space="preserve">SGPT = serum glutamic pyruvic </w:t>
      </w:r>
      <w:r w:rsidRPr="004161BF">
        <w:rPr>
          <w:strike/>
        </w:rPr>
        <w:t>transaminase</w:t>
      </w:r>
      <w:r w:rsidRPr="00B824ED">
        <w:t>.</w:t>
      </w:r>
    </w:p>
    <w:p w:rsidR="004161BF" w:rsidRPr="00B824ED" w:rsidRDefault="004161BF" w:rsidP="004161BF">
      <w:pPr>
        <w:pStyle w:val="TblFootnote"/>
        <w:rPr>
          <w:rFonts w:cs="Arial"/>
          <w:color w:val="000000"/>
        </w:rPr>
      </w:pPr>
      <w:r w:rsidRPr="00B824ED">
        <w:rPr>
          <w:position w:val="4"/>
        </w:rPr>
        <w:t>*</w:t>
      </w:r>
      <w:r w:rsidRPr="00B824ED">
        <w:tab/>
        <w:t xml:space="preserve">Definition of frequency terms:  </w:t>
      </w:r>
      <w:r w:rsidRPr="00B824ED">
        <w:rPr>
          <w:rFonts w:cs="Arial"/>
          <w:color w:val="000000"/>
        </w:rPr>
        <w:t xml:space="preserve">Very common - </w:t>
      </w:r>
      <w:r w:rsidRPr="00B824ED">
        <w:t>≥ </w:t>
      </w:r>
      <w:r w:rsidRPr="00B824ED">
        <w:rPr>
          <w:rFonts w:cs="Arial"/>
          <w:color w:val="000000"/>
        </w:rPr>
        <w:t xml:space="preserve">10%; Common - &gt; 5% and &lt; 10%.  For the purpose of this table, a cutoff of 5% was used for inclusion of all events where the reporter considered a possible relationship to </w:t>
      </w:r>
      <w:proofErr w:type="spellStart"/>
      <w:r w:rsidRPr="00B824ED">
        <w:rPr>
          <w:rFonts w:cs="Arial"/>
          <w:color w:val="000000"/>
        </w:rPr>
        <w:t>pemetrexed</w:t>
      </w:r>
      <w:proofErr w:type="spellEnd"/>
      <w:r w:rsidRPr="00B824ED">
        <w:rPr>
          <w:rFonts w:cs="Arial"/>
          <w:color w:val="000000"/>
        </w:rPr>
        <w:t>.</w:t>
      </w:r>
    </w:p>
    <w:p w:rsidR="004161BF" w:rsidRPr="00B824ED" w:rsidRDefault="004161BF" w:rsidP="004161BF">
      <w:pPr>
        <w:pStyle w:val="TblFootnote"/>
        <w:rPr>
          <w:rFonts w:cs="Arial"/>
        </w:rPr>
      </w:pPr>
      <w:r w:rsidRPr="00B824ED">
        <w:rPr>
          <w:position w:val="4"/>
        </w:rPr>
        <w:t xml:space="preserve">** </w:t>
      </w:r>
      <w:r w:rsidRPr="00B824ED">
        <w:t>Refer to NCI CTCAE Criteria (Version 3.0; NCI 2003) for each grade of toxicity. The reporting rates shown are according to CTCAE version 3.0</w:t>
      </w:r>
      <w:r w:rsidRPr="00B824ED">
        <w:rPr>
          <w:rFonts w:cs="Arial"/>
          <w:color w:val="000000"/>
        </w:rPr>
        <w:t>.</w:t>
      </w:r>
    </w:p>
    <w:p w:rsidR="00E51847" w:rsidRPr="00E51847" w:rsidRDefault="004161BF" w:rsidP="004161BF">
      <w:pPr>
        <w:spacing w:line="360" w:lineRule="auto"/>
        <w:jc w:val="right"/>
        <w:rPr>
          <w:rFonts w:ascii="Calibri" w:hAnsi="Calibri"/>
          <w:b/>
          <w:bCs/>
          <w:sz w:val="20"/>
          <w:szCs w:val="20"/>
          <w:lang w:val="en-GB"/>
        </w:rPr>
      </w:pPr>
      <w:r w:rsidRPr="00B824ED">
        <w:rPr>
          <w:sz w:val="20"/>
          <w:szCs w:val="20"/>
        </w:rPr>
        <w:t xml:space="preserve">*** Integrated adverse reactions table combines the results of the JMEN </w:t>
      </w:r>
      <w:proofErr w:type="spellStart"/>
      <w:r w:rsidRPr="00B824ED">
        <w:rPr>
          <w:sz w:val="20"/>
          <w:szCs w:val="20"/>
        </w:rPr>
        <w:t>pemetrexed</w:t>
      </w:r>
      <w:proofErr w:type="spellEnd"/>
      <w:r w:rsidRPr="00B824ED">
        <w:rPr>
          <w:sz w:val="20"/>
          <w:szCs w:val="20"/>
        </w:rPr>
        <w:t xml:space="preserve"> maintenance (N=663) and PARAMOUNT continuation </w:t>
      </w:r>
      <w:proofErr w:type="spellStart"/>
      <w:r w:rsidRPr="00B824ED">
        <w:rPr>
          <w:sz w:val="20"/>
          <w:szCs w:val="20"/>
        </w:rPr>
        <w:t>pemetrexed</w:t>
      </w:r>
      <w:proofErr w:type="spellEnd"/>
      <w:r w:rsidRPr="00B824ED">
        <w:rPr>
          <w:sz w:val="20"/>
          <w:szCs w:val="20"/>
        </w:rPr>
        <w:t xml:space="preserve"> maintenance (N=539) studies.</w:t>
      </w:r>
    </w:p>
    <w:p w:rsidR="004161BF" w:rsidRDefault="004161BF" w:rsidP="000A5CBB">
      <w:pPr>
        <w:pStyle w:val="Style1"/>
        <w:adjustRightInd w:val="0"/>
        <w:rPr>
          <w:rFonts w:ascii="Calibri" w:hAnsi="Calibri"/>
          <w:b/>
          <w:bCs/>
          <w:sz w:val="20"/>
          <w:lang w:val="en-GB"/>
        </w:rPr>
      </w:pPr>
    </w:p>
    <w:p w:rsidR="004161BF" w:rsidRDefault="004161BF" w:rsidP="000A5CBB">
      <w:pPr>
        <w:pStyle w:val="Style1"/>
        <w:adjustRightInd w:val="0"/>
        <w:rPr>
          <w:rFonts w:ascii="Calibri" w:hAnsi="Calibri"/>
          <w:b/>
          <w:bCs/>
          <w:sz w:val="20"/>
          <w:lang w:val="en-GB"/>
        </w:rPr>
      </w:pPr>
    </w:p>
    <w:p w:rsidR="004161BF" w:rsidRDefault="004161BF" w:rsidP="000A5CBB">
      <w:pPr>
        <w:pStyle w:val="Style1"/>
        <w:adjustRightInd w:val="0"/>
        <w:rPr>
          <w:rFonts w:ascii="Calibri" w:hAnsi="Calibri"/>
          <w:b/>
          <w:bCs/>
          <w:sz w:val="20"/>
          <w:lang w:val="en-GB"/>
        </w:rPr>
      </w:pPr>
    </w:p>
    <w:p w:rsidR="004161BF" w:rsidRDefault="004161BF" w:rsidP="000A5CBB">
      <w:pPr>
        <w:pStyle w:val="Style1"/>
        <w:adjustRightInd w:val="0"/>
        <w:rPr>
          <w:rFonts w:ascii="Calibri" w:hAnsi="Calibri"/>
          <w:b/>
          <w:bCs/>
          <w:sz w:val="20"/>
          <w:lang w:val="en-GB"/>
        </w:rPr>
      </w:pPr>
    </w:p>
    <w:p w:rsidR="004161BF" w:rsidRDefault="004161BF" w:rsidP="000A5CBB">
      <w:pPr>
        <w:pStyle w:val="Style1"/>
        <w:adjustRightInd w:val="0"/>
        <w:rPr>
          <w:rFonts w:ascii="Calibri" w:hAnsi="Calibri"/>
          <w:b/>
          <w:bCs/>
          <w:sz w:val="20"/>
          <w:lang w:val="en-GB"/>
        </w:rPr>
      </w:pPr>
    </w:p>
    <w:p w:rsidR="004161BF" w:rsidRDefault="004161BF" w:rsidP="000A5CBB">
      <w:pPr>
        <w:pStyle w:val="Style1"/>
        <w:adjustRightInd w:val="0"/>
        <w:rPr>
          <w:rFonts w:ascii="Calibri" w:hAnsi="Calibri"/>
          <w:b/>
          <w:bCs/>
          <w:sz w:val="20"/>
          <w:lang w:val="en-GB"/>
        </w:rPr>
      </w:pPr>
    </w:p>
    <w:p w:rsidR="004161BF" w:rsidRDefault="004161BF" w:rsidP="000A5CBB">
      <w:pPr>
        <w:pStyle w:val="Style1"/>
        <w:adjustRightInd w:val="0"/>
        <w:rPr>
          <w:rFonts w:ascii="Calibri" w:hAnsi="Calibri"/>
          <w:b/>
          <w:bCs/>
          <w:sz w:val="20"/>
          <w:lang w:val="en-GB"/>
        </w:rPr>
      </w:pPr>
    </w:p>
    <w:p w:rsidR="004161BF" w:rsidRDefault="004161BF" w:rsidP="000A5CBB">
      <w:pPr>
        <w:pStyle w:val="Style1"/>
        <w:adjustRightInd w:val="0"/>
        <w:rPr>
          <w:rFonts w:ascii="Calibri" w:hAnsi="Calibri"/>
          <w:b/>
          <w:bCs/>
          <w:sz w:val="20"/>
          <w:lang w:val="en-GB"/>
        </w:rPr>
      </w:pPr>
    </w:p>
    <w:p w:rsidR="004161BF" w:rsidRDefault="004161BF" w:rsidP="000A5CBB">
      <w:pPr>
        <w:pStyle w:val="Style1"/>
        <w:adjustRightInd w:val="0"/>
        <w:rPr>
          <w:rFonts w:ascii="Calibri" w:hAnsi="Calibri"/>
          <w:b/>
          <w:bCs/>
          <w:sz w:val="20"/>
          <w:lang w:val="en-GB"/>
        </w:rPr>
      </w:pPr>
    </w:p>
    <w:p w:rsidR="004161BF" w:rsidRDefault="00E51847" w:rsidP="000A5CBB">
      <w:pPr>
        <w:pStyle w:val="Style1"/>
        <w:adjustRightInd w:val="0"/>
        <w:rPr>
          <w:rFonts w:ascii="Calibri" w:hAnsi="Calibri"/>
          <w:b/>
          <w:bCs/>
          <w:sz w:val="20"/>
          <w:lang w:val="en-GB"/>
        </w:rPr>
      </w:pPr>
      <w:r>
        <w:rPr>
          <w:rFonts w:ascii="Calibri" w:hAnsi="Calibri"/>
          <w:b/>
          <w:bCs/>
          <w:sz w:val="20"/>
          <w:lang w:val="en-GB"/>
        </w:rPr>
        <w:t xml:space="preserve">Revised (New) Table </w:t>
      </w:r>
      <w:r w:rsidR="000A5CBB">
        <w:rPr>
          <w:rFonts w:ascii="Calibri" w:hAnsi="Calibri"/>
          <w:b/>
          <w:bCs/>
          <w:sz w:val="20"/>
          <w:lang w:val="en-GB"/>
        </w:rPr>
        <w:t>on page 14</w:t>
      </w:r>
    </w:p>
    <w:p w:rsidR="004161BF" w:rsidRDefault="004161BF" w:rsidP="004161BF">
      <w:pPr>
        <w:rPr>
          <w:lang w:val="en-GB" w:eastAsia="en-US" w:bidi="ar-SA"/>
        </w:rPr>
      </w:pPr>
    </w:p>
    <w:tbl>
      <w:tblPr>
        <w:tblW w:w="926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377"/>
        <w:gridCol w:w="1718"/>
        <w:gridCol w:w="1391"/>
        <w:gridCol w:w="992"/>
        <w:gridCol w:w="851"/>
        <w:gridCol w:w="1134"/>
      </w:tblGrid>
      <w:tr w:rsidR="004161BF" w:rsidRPr="00B824ED" w:rsidTr="004161BF">
        <w:trPr>
          <w:cantSplit/>
          <w:trHeight w:val="503"/>
        </w:trPr>
        <w:tc>
          <w:tcPr>
            <w:tcW w:w="1803" w:type="dxa"/>
            <w:vMerge w:val="restart"/>
            <w:shd w:val="clear" w:color="auto" w:fill="C0C0C0"/>
            <w:vAlign w:val="bottom"/>
          </w:tcPr>
          <w:p w:rsidR="004161BF" w:rsidRPr="00B824ED" w:rsidRDefault="004161BF" w:rsidP="004161BF">
            <w:pPr>
              <w:pStyle w:val="mdTblEntry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lastRenderedPageBreak/>
              <w:t>System organ class</w:t>
            </w:r>
          </w:p>
        </w:tc>
        <w:tc>
          <w:tcPr>
            <w:tcW w:w="1377" w:type="dxa"/>
            <w:vMerge w:val="restart"/>
            <w:shd w:val="clear" w:color="auto" w:fill="C0C0C0"/>
            <w:vAlign w:val="bottom"/>
          </w:tcPr>
          <w:p w:rsidR="004161BF" w:rsidRPr="00B824ED" w:rsidRDefault="004161BF" w:rsidP="004161BF">
            <w:pPr>
              <w:pStyle w:val="mdTblEntry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Frequency</w:t>
            </w:r>
            <w:r w:rsidRPr="00B824ED">
              <w:rPr>
                <w:b/>
                <w:position w:val="4"/>
                <w:sz w:val="22"/>
              </w:rPr>
              <w:t>*</w:t>
            </w:r>
          </w:p>
        </w:tc>
        <w:tc>
          <w:tcPr>
            <w:tcW w:w="1718" w:type="dxa"/>
            <w:vMerge w:val="restart"/>
            <w:shd w:val="clear" w:color="auto" w:fill="C0C0C0"/>
            <w:vAlign w:val="bottom"/>
          </w:tcPr>
          <w:p w:rsidR="004161BF" w:rsidRPr="00B824ED" w:rsidRDefault="004161BF" w:rsidP="004161BF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Event</w:t>
            </w:r>
            <w:r w:rsidRPr="00B824ED">
              <w:rPr>
                <w:b/>
                <w:position w:val="4"/>
                <w:sz w:val="22"/>
              </w:rPr>
              <w:t>**</w:t>
            </w:r>
          </w:p>
        </w:tc>
        <w:tc>
          <w:tcPr>
            <w:tcW w:w="2383" w:type="dxa"/>
            <w:gridSpan w:val="2"/>
            <w:shd w:val="clear" w:color="auto" w:fill="C0C0C0"/>
          </w:tcPr>
          <w:p w:rsidR="004161BF" w:rsidRPr="00B824ED" w:rsidRDefault="004161BF" w:rsidP="004161BF">
            <w:pPr>
              <w:pStyle w:val="mdTblEntry"/>
              <w:jc w:val="center"/>
              <w:rPr>
                <w:b/>
                <w:bCs/>
                <w:sz w:val="22"/>
              </w:rPr>
            </w:pPr>
            <w:proofErr w:type="spellStart"/>
            <w:r w:rsidRPr="00B824ED">
              <w:rPr>
                <w:b/>
                <w:bCs/>
                <w:sz w:val="22"/>
              </w:rPr>
              <w:t>Pemetrexed</w:t>
            </w:r>
            <w:proofErr w:type="spellEnd"/>
            <w:r w:rsidRPr="00B824ED">
              <w:rPr>
                <w:b/>
                <w:bCs/>
              </w:rPr>
              <w:t>***</w:t>
            </w:r>
          </w:p>
          <w:p w:rsidR="004161BF" w:rsidRPr="00B824ED" w:rsidRDefault="004161BF" w:rsidP="004161BF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(N =</w:t>
            </w:r>
            <w:r w:rsidRPr="00B824ED">
              <w:rPr>
                <w:b/>
                <w:bCs/>
              </w:rPr>
              <w:t>800</w:t>
            </w:r>
            <w:r w:rsidRPr="00B824ED">
              <w:rPr>
                <w:b/>
                <w:bCs/>
                <w:sz w:val="22"/>
              </w:rPr>
              <w:t>)</w:t>
            </w:r>
          </w:p>
        </w:tc>
        <w:tc>
          <w:tcPr>
            <w:tcW w:w="1985" w:type="dxa"/>
            <w:gridSpan w:val="2"/>
            <w:shd w:val="clear" w:color="auto" w:fill="C0C0C0"/>
          </w:tcPr>
          <w:p w:rsidR="004161BF" w:rsidRPr="00B824ED" w:rsidRDefault="004161BF" w:rsidP="004161BF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Placebo</w:t>
            </w:r>
            <w:r w:rsidRPr="00B824ED">
              <w:rPr>
                <w:b/>
                <w:bCs/>
              </w:rPr>
              <w:t>***</w:t>
            </w:r>
          </w:p>
          <w:p w:rsidR="004161BF" w:rsidRPr="00B824ED" w:rsidRDefault="004161BF" w:rsidP="004161BF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(N =</w:t>
            </w:r>
            <w:r w:rsidRPr="00B824ED">
              <w:rPr>
                <w:b/>
                <w:bCs/>
              </w:rPr>
              <w:t>402</w:t>
            </w:r>
            <w:r w:rsidRPr="00B824ED">
              <w:rPr>
                <w:b/>
                <w:bCs/>
                <w:sz w:val="22"/>
              </w:rPr>
              <w:t>)</w:t>
            </w:r>
          </w:p>
        </w:tc>
      </w:tr>
      <w:tr w:rsidR="004161BF" w:rsidRPr="00B824ED" w:rsidTr="004161BF">
        <w:trPr>
          <w:cantSplit/>
          <w:trHeight w:val="503"/>
        </w:trPr>
        <w:tc>
          <w:tcPr>
            <w:tcW w:w="1803" w:type="dxa"/>
            <w:vMerge/>
            <w:shd w:val="clear" w:color="auto" w:fill="C0C0C0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</w:p>
        </w:tc>
        <w:tc>
          <w:tcPr>
            <w:tcW w:w="1377" w:type="dxa"/>
            <w:vMerge/>
            <w:shd w:val="clear" w:color="auto" w:fill="C0C0C0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</w:p>
        </w:tc>
        <w:tc>
          <w:tcPr>
            <w:tcW w:w="1718" w:type="dxa"/>
            <w:vMerge/>
            <w:shd w:val="clear" w:color="auto" w:fill="C0C0C0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</w:p>
        </w:tc>
        <w:tc>
          <w:tcPr>
            <w:tcW w:w="1391" w:type="dxa"/>
            <w:shd w:val="clear" w:color="auto" w:fill="C0C0C0"/>
            <w:vAlign w:val="bottom"/>
          </w:tcPr>
          <w:p w:rsidR="004161BF" w:rsidRPr="00B824ED" w:rsidRDefault="004161BF" w:rsidP="004161BF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 xml:space="preserve">All grades toxicity </w:t>
            </w:r>
            <w:r w:rsidRPr="00B824ED">
              <w:rPr>
                <w:b/>
                <w:bCs/>
                <w:sz w:val="22"/>
              </w:rPr>
              <w:br/>
              <w:t>(%)</w:t>
            </w:r>
          </w:p>
        </w:tc>
        <w:tc>
          <w:tcPr>
            <w:tcW w:w="992" w:type="dxa"/>
            <w:shd w:val="clear" w:color="auto" w:fill="C0C0C0"/>
            <w:vAlign w:val="bottom"/>
          </w:tcPr>
          <w:p w:rsidR="004161BF" w:rsidRPr="00B824ED" w:rsidRDefault="004161BF" w:rsidP="004161BF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Grade 3 - 4 toxicity</w:t>
            </w:r>
          </w:p>
          <w:p w:rsidR="004161BF" w:rsidRPr="00B824ED" w:rsidRDefault="004161BF" w:rsidP="004161BF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(%)</w:t>
            </w:r>
          </w:p>
        </w:tc>
        <w:tc>
          <w:tcPr>
            <w:tcW w:w="851" w:type="dxa"/>
            <w:shd w:val="clear" w:color="auto" w:fill="C0C0C0"/>
            <w:vAlign w:val="bottom"/>
          </w:tcPr>
          <w:p w:rsidR="004161BF" w:rsidRPr="00B824ED" w:rsidRDefault="004161BF" w:rsidP="004161BF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All grades toxicity</w:t>
            </w:r>
          </w:p>
          <w:p w:rsidR="004161BF" w:rsidRPr="00B824ED" w:rsidRDefault="004161BF" w:rsidP="004161BF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(%)</w:t>
            </w:r>
          </w:p>
        </w:tc>
        <w:tc>
          <w:tcPr>
            <w:tcW w:w="1134" w:type="dxa"/>
            <w:shd w:val="clear" w:color="auto" w:fill="C0C0C0"/>
            <w:vAlign w:val="bottom"/>
          </w:tcPr>
          <w:p w:rsidR="004161BF" w:rsidRPr="00B824ED" w:rsidRDefault="004161BF" w:rsidP="004161BF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Grade 3 - 4 toxicity</w:t>
            </w:r>
          </w:p>
          <w:p w:rsidR="004161BF" w:rsidRPr="00B824ED" w:rsidRDefault="004161BF" w:rsidP="004161BF">
            <w:pPr>
              <w:pStyle w:val="mdTblEntry"/>
              <w:jc w:val="center"/>
              <w:rPr>
                <w:b/>
                <w:bCs/>
                <w:sz w:val="22"/>
              </w:rPr>
            </w:pPr>
            <w:r w:rsidRPr="00B824ED">
              <w:rPr>
                <w:b/>
                <w:bCs/>
                <w:sz w:val="22"/>
              </w:rPr>
              <w:t>(%)</w:t>
            </w:r>
          </w:p>
        </w:tc>
      </w:tr>
      <w:tr w:rsidR="004161BF" w:rsidRPr="00B824ED" w:rsidTr="004161BF">
        <w:trPr>
          <w:cantSplit/>
          <w:trHeight w:val="277"/>
        </w:trPr>
        <w:tc>
          <w:tcPr>
            <w:tcW w:w="1803" w:type="dxa"/>
            <w:vMerge w:val="restart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Blood and lymphatic system disorders</w:t>
            </w:r>
          </w:p>
        </w:tc>
        <w:tc>
          <w:tcPr>
            <w:tcW w:w="1377" w:type="dxa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Very common</w:t>
            </w:r>
          </w:p>
        </w:tc>
        <w:tc>
          <w:tcPr>
            <w:tcW w:w="1718" w:type="dxa"/>
          </w:tcPr>
          <w:p w:rsidR="004161BF" w:rsidRPr="00B824ED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textAlignment w:val="baseline"/>
              <w:rPr>
                <w:sz w:val="22"/>
              </w:rPr>
            </w:pPr>
            <w:r w:rsidRPr="00B824ED">
              <w:rPr>
                <w:sz w:val="22"/>
              </w:rPr>
              <w:t>Hemoglobin</w:t>
            </w:r>
          </w:p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decreased</w:t>
            </w:r>
          </w:p>
        </w:tc>
        <w:tc>
          <w:tcPr>
            <w:tcW w:w="139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18.0</w:t>
            </w:r>
          </w:p>
        </w:tc>
        <w:tc>
          <w:tcPr>
            <w:tcW w:w="992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4.5</w:t>
            </w:r>
          </w:p>
        </w:tc>
        <w:tc>
          <w:tcPr>
            <w:tcW w:w="85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5.2</w:t>
            </w:r>
          </w:p>
        </w:tc>
        <w:tc>
          <w:tcPr>
            <w:tcW w:w="1134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0.5</w:t>
            </w:r>
          </w:p>
        </w:tc>
      </w:tr>
      <w:tr w:rsidR="004161BF" w:rsidRPr="00B824ED" w:rsidTr="004161BF">
        <w:trPr>
          <w:cantSplit/>
          <w:trHeight w:val="277"/>
        </w:trPr>
        <w:tc>
          <w:tcPr>
            <w:tcW w:w="1803" w:type="dxa"/>
            <w:vMerge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</w:p>
        </w:tc>
        <w:tc>
          <w:tcPr>
            <w:tcW w:w="1377" w:type="dxa"/>
            <w:vMerge w:val="restart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Common</w:t>
            </w:r>
          </w:p>
        </w:tc>
        <w:tc>
          <w:tcPr>
            <w:tcW w:w="1718" w:type="dxa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Leukocytes</w:t>
            </w:r>
          </w:p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decreased</w:t>
            </w:r>
            <w:r w:rsidRPr="00B824ED">
              <w:t xml:space="preserve"> </w:t>
            </w:r>
          </w:p>
        </w:tc>
        <w:tc>
          <w:tcPr>
            <w:tcW w:w="139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5.8</w:t>
            </w:r>
          </w:p>
        </w:tc>
        <w:tc>
          <w:tcPr>
            <w:tcW w:w="992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1.9</w:t>
            </w:r>
          </w:p>
        </w:tc>
        <w:tc>
          <w:tcPr>
            <w:tcW w:w="85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0.7</w:t>
            </w:r>
          </w:p>
        </w:tc>
        <w:tc>
          <w:tcPr>
            <w:tcW w:w="1134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0.2</w:t>
            </w:r>
          </w:p>
        </w:tc>
      </w:tr>
      <w:tr w:rsidR="004161BF" w:rsidRPr="00B824ED" w:rsidTr="004161BF">
        <w:trPr>
          <w:cantSplit/>
          <w:trHeight w:val="277"/>
        </w:trPr>
        <w:tc>
          <w:tcPr>
            <w:tcW w:w="1803" w:type="dxa"/>
            <w:vMerge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</w:p>
        </w:tc>
        <w:tc>
          <w:tcPr>
            <w:tcW w:w="1377" w:type="dxa"/>
            <w:vMerge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</w:p>
        </w:tc>
        <w:tc>
          <w:tcPr>
            <w:tcW w:w="1718" w:type="dxa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Neutrophils</w:t>
            </w:r>
          </w:p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decreased</w:t>
            </w:r>
            <w:r w:rsidRPr="00B824ED">
              <w:t xml:space="preserve"> </w:t>
            </w:r>
          </w:p>
        </w:tc>
        <w:tc>
          <w:tcPr>
            <w:tcW w:w="139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8.4</w:t>
            </w:r>
          </w:p>
        </w:tc>
        <w:tc>
          <w:tcPr>
            <w:tcW w:w="992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4.4</w:t>
            </w:r>
          </w:p>
        </w:tc>
        <w:tc>
          <w:tcPr>
            <w:tcW w:w="85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0.2</w:t>
            </w:r>
          </w:p>
        </w:tc>
        <w:tc>
          <w:tcPr>
            <w:tcW w:w="1134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0.0</w:t>
            </w:r>
          </w:p>
        </w:tc>
      </w:tr>
      <w:tr w:rsidR="004161BF" w:rsidRPr="00B824ED" w:rsidTr="004161BF">
        <w:trPr>
          <w:cantSplit/>
          <w:trHeight w:val="97"/>
        </w:trPr>
        <w:tc>
          <w:tcPr>
            <w:tcW w:w="1803" w:type="dxa"/>
            <w:vAlign w:val="bottom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Nervous system disorders</w:t>
            </w:r>
          </w:p>
        </w:tc>
        <w:tc>
          <w:tcPr>
            <w:tcW w:w="1377" w:type="dxa"/>
            <w:vAlign w:val="bottom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Common</w:t>
            </w:r>
          </w:p>
        </w:tc>
        <w:tc>
          <w:tcPr>
            <w:tcW w:w="1718" w:type="dxa"/>
            <w:vAlign w:val="bottom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Neuropathy-sensory</w:t>
            </w:r>
          </w:p>
        </w:tc>
        <w:tc>
          <w:tcPr>
            <w:tcW w:w="1391" w:type="dxa"/>
            <w:vAlign w:val="bottom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7.4</w:t>
            </w:r>
          </w:p>
        </w:tc>
        <w:tc>
          <w:tcPr>
            <w:tcW w:w="992" w:type="dxa"/>
            <w:vAlign w:val="bottom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0.6</w:t>
            </w:r>
          </w:p>
        </w:tc>
        <w:tc>
          <w:tcPr>
            <w:tcW w:w="851" w:type="dxa"/>
            <w:vAlign w:val="bottom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5.0</w:t>
            </w:r>
          </w:p>
        </w:tc>
        <w:tc>
          <w:tcPr>
            <w:tcW w:w="1134" w:type="dxa"/>
            <w:vAlign w:val="bottom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0.2</w:t>
            </w:r>
          </w:p>
        </w:tc>
      </w:tr>
      <w:tr w:rsidR="004161BF" w:rsidRPr="00B824ED" w:rsidTr="004161BF">
        <w:trPr>
          <w:cantSplit/>
          <w:trHeight w:val="292"/>
        </w:trPr>
        <w:tc>
          <w:tcPr>
            <w:tcW w:w="1803" w:type="dxa"/>
            <w:vMerge w:val="restart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Gastrointestinal  disorders</w:t>
            </w:r>
          </w:p>
        </w:tc>
        <w:tc>
          <w:tcPr>
            <w:tcW w:w="1377" w:type="dxa"/>
            <w:vMerge w:val="restart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Very common</w:t>
            </w:r>
          </w:p>
        </w:tc>
        <w:tc>
          <w:tcPr>
            <w:tcW w:w="1718" w:type="dxa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Nausea</w:t>
            </w:r>
          </w:p>
        </w:tc>
        <w:tc>
          <w:tcPr>
            <w:tcW w:w="139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17.3</w:t>
            </w:r>
          </w:p>
        </w:tc>
        <w:tc>
          <w:tcPr>
            <w:tcW w:w="992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0.8</w:t>
            </w:r>
          </w:p>
        </w:tc>
        <w:tc>
          <w:tcPr>
            <w:tcW w:w="85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4.0</w:t>
            </w:r>
          </w:p>
        </w:tc>
        <w:tc>
          <w:tcPr>
            <w:tcW w:w="1134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0.2</w:t>
            </w:r>
          </w:p>
        </w:tc>
      </w:tr>
      <w:tr w:rsidR="004161BF" w:rsidRPr="00B824ED" w:rsidTr="004161BF">
        <w:trPr>
          <w:cantSplit/>
          <w:trHeight w:val="292"/>
        </w:trPr>
        <w:tc>
          <w:tcPr>
            <w:tcW w:w="1803" w:type="dxa"/>
            <w:vMerge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</w:p>
        </w:tc>
        <w:tc>
          <w:tcPr>
            <w:tcW w:w="1377" w:type="dxa"/>
            <w:vMerge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</w:p>
        </w:tc>
        <w:tc>
          <w:tcPr>
            <w:tcW w:w="1718" w:type="dxa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Anorexia</w:t>
            </w:r>
          </w:p>
        </w:tc>
        <w:tc>
          <w:tcPr>
            <w:tcW w:w="139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  <w:highlight w:val="yellow"/>
              </w:rPr>
              <w:t>12.8</w:t>
            </w:r>
          </w:p>
        </w:tc>
        <w:tc>
          <w:tcPr>
            <w:tcW w:w="992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1.1</w:t>
            </w:r>
          </w:p>
        </w:tc>
        <w:tc>
          <w:tcPr>
            <w:tcW w:w="85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3.2</w:t>
            </w:r>
          </w:p>
        </w:tc>
        <w:tc>
          <w:tcPr>
            <w:tcW w:w="1134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0.0</w:t>
            </w:r>
          </w:p>
        </w:tc>
      </w:tr>
      <w:tr w:rsidR="004161BF" w:rsidRPr="00B824ED" w:rsidTr="004161BF">
        <w:trPr>
          <w:cantSplit/>
          <w:trHeight w:val="97"/>
        </w:trPr>
        <w:tc>
          <w:tcPr>
            <w:tcW w:w="1803" w:type="dxa"/>
            <w:vMerge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</w:p>
        </w:tc>
        <w:tc>
          <w:tcPr>
            <w:tcW w:w="1377" w:type="dxa"/>
            <w:vMerge w:val="restart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Common</w:t>
            </w:r>
          </w:p>
        </w:tc>
        <w:tc>
          <w:tcPr>
            <w:tcW w:w="1718" w:type="dxa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Vomiting</w:t>
            </w:r>
          </w:p>
        </w:tc>
        <w:tc>
          <w:tcPr>
            <w:tcW w:w="139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8.4</w:t>
            </w:r>
          </w:p>
        </w:tc>
        <w:tc>
          <w:tcPr>
            <w:tcW w:w="992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0.3</w:t>
            </w:r>
          </w:p>
        </w:tc>
        <w:tc>
          <w:tcPr>
            <w:tcW w:w="85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1.5</w:t>
            </w:r>
          </w:p>
        </w:tc>
        <w:tc>
          <w:tcPr>
            <w:tcW w:w="1134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0.0</w:t>
            </w:r>
          </w:p>
        </w:tc>
      </w:tr>
      <w:tr w:rsidR="004161BF" w:rsidRPr="00B824ED" w:rsidTr="004161BF">
        <w:trPr>
          <w:cantSplit/>
          <w:trHeight w:val="97"/>
        </w:trPr>
        <w:tc>
          <w:tcPr>
            <w:tcW w:w="1803" w:type="dxa"/>
            <w:vMerge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</w:p>
        </w:tc>
        <w:tc>
          <w:tcPr>
            <w:tcW w:w="1377" w:type="dxa"/>
            <w:vMerge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</w:p>
        </w:tc>
        <w:tc>
          <w:tcPr>
            <w:tcW w:w="1718" w:type="dxa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proofErr w:type="spellStart"/>
            <w:r w:rsidRPr="00B824ED">
              <w:rPr>
                <w:sz w:val="22"/>
              </w:rPr>
              <w:t>Mucositis</w:t>
            </w:r>
            <w:proofErr w:type="spellEnd"/>
            <w:r w:rsidRPr="00B824ED">
              <w:rPr>
                <w:sz w:val="22"/>
              </w:rPr>
              <w:t xml:space="preserve">/ </w:t>
            </w:r>
            <w:proofErr w:type="spellStart"/>
            <w:r w:rsidRPr="00B824ED">
              <w:rPr>
                <w:sz w:val="22"/>
              </w:rPr>
              <w:t>stomatitis</w:t>
            </w:r>
            <w:proofErr w:type="spellEnd"/>
          </w:p>
        </w:tc>
        <w:tc>
          <w:tcPr>
            <w:tcW w:w="139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6.8</w:t>
            </w:r>
          </w:p>
        </w:tc>
        <w:tc>
          <w:tcPr>
            <w:tcW w:w="992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0.8</w:t>
            </w:r>
          </w:p>
        </w:tc>
        <w:tc>
          <w:tcPr>
            <w:tcW w:w="85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1.7</w:t>
            </w:r>
          </w:p>
        </w:tc>
        <w:tc>
          <w:tcPr>
            <w:tcW w:w="1134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0.0</w:t>
            </w:r>
          </w:p>
        </w:tc>
      </w:tr>
      <w:tr w:rsidR="004161BF" w:rsidRPr="00B824ED" w:rsidTr="004161BF">
        <w:trPr>
          <w:cantSplit/>
          <w:trHeight w:val="97"/>
        </w:trPr>
        <w:tc>
          <w:tcPr>
            <w:tcW w:w="1803" w:type="dxa"/>
            <w:vMerge w:val="restart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proofErr w:type="spellStart"/>
            <w:r w:rsidRPr="00B824ED">
              <w:rPr>
                <w:sz w:val="22"/>
              </w:rPr>
              <w:t>Hepatobiliary</w:t>
            </w:r>
            <w:proofErr w:type="spellEnd"/>
            <w:r w:rsidRPr="00B824ED">
              <w:rPr>
                <w:sz w:val="22"/>
              </w:rPr>
              <w:t xml:space="preserve"> disorders</w:t>
            </w:r>
          </w:p>
        </w:tc>
        <w:tc>
          <w:tcPr>
            <w:tcW w:w="1377" w:type="dxa"/>
            <w:vMerge w:val="restart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Common</w:t>
            </w:r>
          </w:p>
        </w:tc>
        <w:tc>
          <w:tcPr>
            <w:tcW w:w="1718" w:type="dxa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ALT (SGPT)</w:t>
            </w:r>
            <w:r w:rsidRPr="00B824ED">
              <w:t xml:space="preserve"> elevation</w:t>
            </w:r>
          </w:p>
        </w:tc>
        <w:tc>
          <w:tcPr>
            <w:tcW w:w="139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  <w:highlight w:val="yellow"/>
              </w:rPr>
              <w:t>6.5</w:t>
            </w:r>
          </w:p>
        </w:tc>
        <w:tc>
          <w:tcPr>
            <w:tcW w:w="992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0.1</w:t>
            </w:r>
          </w:p>
        </w:tc>
        <w:tc>
          <w:tcPr>
            <w:tcW w:w="85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2.2</w:t>
            </w:r>
          </w:p>
        </w:tc>
        <w:tc>
          <w:tcPr>
            <w:tcW w:w="1134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0.0</w:t>
            </w:r>
          </w:p>
        </w:tc>
      </w:tr>
      <w:tr w:rsidR="004161BF" w:rsidRPr="00B824ED" w:rsidTr="004161BF">
        <w:trPr>
          <w:cantSplit/>
          <w:trHeight w:val="97"/>
        </w:trPr>
        <w:tc>
          <w:tcPr>
            <w:tcW w:w="1803" w:type="dxa"/>
            <w:vMerge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</w:p>
        </w:tc>
        <w:tc>
          <w:tcPr>
            <w:tcW w:w="1377" w:type="dxa"/>
            <w:vMerge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</w:p>
        </w:tc>
        <w:tc>
          <w:tcPr>
            <w:tcW w:w="1718" w:type="dxa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AST (SGOT)</w:t>
            </w:r>
            <w:r w:rsidRPr="00B824ED">
              <w:t xml:space="preserve"> elevation</w:t>
            </w:r>
          </w:p>
        </w:tc>
        <w:tc>
          <w:tcPr>
            <w:tcW w:w="139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  <w:highlight w:val="yellow"/>
              </w:rPr>
              <w:t>5.9</w:t>
            </w:r>
          </w:p>
        </w:tc>
        <w:tc>
          <w:tcPr>
            <w:tcW w:w="992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0.0</w:t>
            </w:r>
          </w:p>
        </w:tc>
        <w:tc>
          <w:tcPr>
            <w:tcW w:w="85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1.7</w:t>
            </w:r>
          </w:p>
        </w:tc>
        <w:tc>
          <w:tcPr>
            <w:tcW w:w="1134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0.0</w:t>
            </w:r>
          </w:p>
        </w:tc>
      </w:tr>
      <w:tr w:rsidR="004161BF" w:rsidRPr="00B824ED" w:rsidTr="004161BF">
        <w:trPr>
          <w:cantSplit/>
          <w:trHeight w:val="97"/>
        </w:trPr>
        <w:tc>
          <w:tcPr>
            <w:tcW w:w="1803" w:type="dxa"/>
            <w:vAlign w:val="bottom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Skin and subcutaneous</w:t>
            </w:r>
            <w:r w:rsidRPr="00B824ED">
              <w:rPr>
                <w:sz w:val="22"/>
              </w:rPr>
              <w:br/>
              <w:t>tissue disorders</w:t>
            </w:r>
          </w:p>
        </w:tc>
        <w:tc>
          <w:tcPr>
            <w:tcW w:w="1377" w:type="dxa"/>
            <w:vAlign w:val="bottom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common</w:t>
            </w:r>
          </w:p>
        </w:tc>
        <w:tc>
          <w:tcPr>
            <w:tcW w:w="1718" w:type="dxa"/>
            <w:vAlign w:val="bottom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Rash/ desquamation</w:t>
            </w:r>
          </w:p>
        </w:tc>
        <w:tc>
          <w:tcPr>
            <w:tcW w:w="1391" w:type="dxa"/>
            <w:vAlign w:val="bottom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  <w:highlight w:val="yellow"/>
              </w:rPr>
              <w:t>8.1</w:t>
            </w:r>
          </w:p>
        </w:tc>
        <w:tc>
          <w:tcPr>
            <w:tcW w:w="992" w:type="dxa"/>
            <w:vAlign w:val="bottom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0.1</w:t>
            </w:r>
          </w:p>
        </w:tc>
        <w:tc>
          <w:tcPr>
            <w:tcW w:w="851" w:type="dxa"/>
            <w:vAlign w:val="bottom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  <w:highlight w:val="yellow"/>
              </w:rPr>
              <w:t>3.7</w:t>
            </w:r>
          </w:p>
        </w:tc>
        <w:tc>
          <w:tcPr>
            <w:tcW w:w="1134" w:type="dxa"/>
            <w:vAlign w:val="bottom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0.0</w:t>
            </w:r>
          </w:p>
        </w:tc>
      </w:tr>
      <w:tr w:rsidR="004161BF" w:rsidRPr="00B824ED" w:rsidTr="004161BF">
        <w:trPr>
          <w:cantSplit/>
          <w:trHeight w:val="97"/>
        </w:trPr>
        <w:tc>
          <w:tcPr>
            <w:tcW w:w="1803" w:type="dxa"/>
            <w:vMerge w:val="restart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General disorders and administration site conditions</w:t>
            </w:r>
          </w:p>
        </w:tc>
        <w:tc>
          <w:tcPr>
            <w:tcW w:w="1377" w:type="dxa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Very common</w:t>
            </w:r>
          </w:p>
        </w:tc>
        <w:tc>
          <w:tcPr>
            <w:tcW w:w="1718" w:type="dxa"/>
          </w:tcPr>
          <w:p w:rsidR="004161BF" w:rsidRPr="00B824ED" w:rsidRDefault="004161BF" w:rsidP="004161BF">
            <w:pPr>
              <w:pStyle w:val="mdTblEntry"/>
              <w:rPr>
                <w:sz w:val="22"/>
              </w:rPr>
            </w:pPr>
            <w:r w:rsidRPr="00B824ED">
              <w:rPr>
                <w:sz w:val="22"/>
              </w:rPr>
              <w:t>Fatigue</w:t>
            </w:r>
          </w:p>
        </w:tc>
        <w:tc>
          <w:tcPr>
            <w:tcW w:w="139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24.1</w:t>
            </w:r>
          </w:p>
        </w:tc>
        <w:tc>
          <w:tcPr>
            <w:tcW w:w="992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5.3</w:t>
            </w:r>
          </w:p>
        </w:tc>
        <w:tc>
          <w:tcPr>
            <w:tcW w:w="851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10.9</w:t>
            </w:r>
          </w:p>
        </w:tc>
        <w:tc>
          <w:tcPr>
            <w:tcW w:w="1134" w:type="dxa"/>
          </w:tcPr>
          <w:p w:rsidR="004161BF" w:rsidRPr="004161BF" w:rsidRDefault="004161BF" w:rsidP="004161BF">
            <w:pPr>
              <w:pStyle w:val="mdTblEntry"/>
              <w:jc w:val="center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0.7</w:t>
            </w:r>
          </w:p>
        </w:tc>
      </w:tr>
      <w:tr w:rsidR="004161BF" w:rsidRPr="002D3D0F" w:rsidTr="004161BF">
        <w:trPr>
          <w:cantSplit/>
          <w:trHeight w:val="238"/>
        </w:trPr>
        <w:tc>
          <w:tcPr>
            <w:tcW w:w="1803" w:type="dxa"/>
            <w:vMerge/>
          </w:tcPr>
          <w:p w:rsidR="004161BF" w:rsidRPr="00B824ED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textAlignment w:val="baseline"/>
              <w:rPr>
                <w:szCs w:val="20"/>
              </w:rPr>
            </w:pPr>
          </w:p>
        </w:tc>
        <w:tc>
          <w:tcPr>
            <w:tcW w:w="1377" w:type="dxa"/>
            <w:vMerge w:val="restart"/>
          </w:tcPr>
          <w:p w:rsidR="004161BF" w:rsidRPr="00B824ED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textAlignment w:val="baseline"/>
              <w:rPr>
                <w:sz w:val="22"/>
                <w:szCs w:val="18"/>
              </w:rPr>
            </w:pPr>
            <w:r w:rsidRPr="00B824ED">
              <w:rPr>
                <w:sz w:val="22"/>
                <w:szCs w:val="18"/>
              </w:rPr>
              <w:t>Common</w:t>
            </w:r>
          </w:p>
        </w:tc>
        <w:tc>
          <w:tcPr>
            <w:tcW w:w="1718" w:type="dxa"/>
          </w:tcPr>
          <w:p w:rsidR="004161BF" w:rsidRPr="00B824ED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ind w:left="960" w:hanging="240"/>
              <w:textAlignment w:val="baseline"/>
              <w:rPr>
                <w:sz w:val="22"/>
                <w:szCs w:val="18"/>
              </w:rPr>
            </w:pPr>
            <w:r w:rsidRPr="00B824ED">
              <w:rPr>
                <w:sz w:val="22"/>
                <w:szCs w:val="18"/>
              </w:rPr>
              <w:t>Pain</w:t>
            </w:r>
          </w:p>
        </w:tc>
        <w:tc>
          <w:tcPr>
            <w:tcW w:w="1391" w:type="dxa"/>
          </w:tcPr>
          <w:p w:rsidR="004161BF" w:rsidRPr="004161BF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ind w:left="960" w:hanging="809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7.6</w:t>
            </w:r>
          </w:p>
        </w:tc>
        <w:tc>
          <w:tcPr>
            <w:tcW w:w="992" w:type="dxa"/>
          </w:tcPr>
          <w:p w:rsidR="004161BF" w:rsidRPr="004161BF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textAlignment w:val="baseline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0.9</w:t>
            </w:r>
          </w:p>
        </w:tc>
        <w:tc>
          <w:tcPr>
            <w:tcW w:w="851" w:type="dxa"/>
          </w:tcPr>
          <w:p w:rsidR="004161BF" w:rsidRPr="004161BF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ind w:left="240" w:hanging="240"/>
              <w:textAlignment w:val="baseline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4.5</w:t>
            </w:r>
          </w:p>
        </w:tc>
        <w:tc>
          <w:tcPr>
            <w:tcW w:w="1134" w:type="dxa"/>
          </w:tcPr>
          <w:p w:rsidR="004161BF" w:rsidRPr="004161BF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0.0</w:t>
            </w:r>
          </w:p>
        </w:tc>
      </w:tr>
      <w:tr w:rsidR="004161BF" w:rsidRPr="002D3D0F" w:rsidTr="004161BF">
        <w:trPr>
          <w:cantSplit/>
          <w:trHeight w:val="237"/>
        </w:trPr>
        <w:tc>
          <w:tcPr>
            <w:tcW w:w="1803" w:type="dxa"/>
            <w:vMerge/>
          </w:tcPr>
          <w:p w:rsidR="004161BF" w:rsidRPr="00B824ED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textAlignment w:val="baseline"/>
              <w:rPr>
                <w:szCs w:val="20"/>
              </w:rPr>
            </w:pPr>
          </w:p>
        </w:tc>
        <w:tc>
          <w:tcPr>
            <w:tcW w:w="1377" w:type="dxa"/>
            <w:vMerge/>
          </w:tcPr>
          <w:p w:rsidR="004161BF" w:rsidRPr="00B824ED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textAlignment w:val="baseline"/>
              <w:rPr>
                <w:sz w:val="22"/>
                <w:szCs w:val="18"/>
              </w:rPr>
            </w:pPr>
          </w:p>
        </w:tc>
        <w:tc>
          <w:tcPr>
            <w:tcW w:w="1718" w:type="dxa"/>
          </w:tcPr>
          <w:p w:rsidR="004161BF" w:rsidRPr="001F6FC2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ind w:left="960" w:hanging="240"/>
              <w:textAlignment w:val="baseline"/>
              <w:rPr>
                <w:sz w:val="22"/>
                <w:szCs w:val="18"/>
                <w:highlight w:val="yellow"/>
              </w:rPr>
            </w:pPr>
            <w:r w:rsidRPr="001F6FC2">
              <w:rPr>
                <w:sz w:val="22"/>
                <w:szCs w:val="18"/>
                <w:highlight w:val="yellow"/>
              </w:rPr>
              <w:t>Edema</w:t>
            </w:r>
          </w:p>
        </w:tc>
        <w:tc>
          <w:tcPr>
            <w:tcW w:w="1391" w:type="dxa"/>
          </w:tcPr>
          <w:p w:rsidR="004161BF" w:rsidRPr="004161BF" w:rsidDel="00D54564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ind w:left="960" w:hanging="24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5.6</w:t>
            </w:r>
          </w:p>
        </w:tc>
        <w:tc>
          <w:tcPr>
            <w:tcW w:w="992" w:type="dxa"/>
          </w:tcPr>
          <w:p w:rsidR="004161BF" w:rsidRPr="004161BF" w:rsidDel="00D54564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textAlignment w:val="baseline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0.0</w:t>
            </w:r>
          </w:p>
        </w:tc>
        <w:tc>
          <w:tcPr>
            <w:tcW w:w="851" w:type="dxa"/>
          </w:tcPr>
          <w:p w:rsidR="004161BF" w:rsidRPr="004161BF" w:rsidDel="00D54564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ind w:left="240" w:hanging="240"/>
              <w:textAlignment w:val="baseline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1.5</w:t>
            </w:r>
          </w:p>
        </w:tc>
        <w:tc>
          <w:tcPr>
            <w:tcW w:w="1134" w:type="dxa"/>
          </w:tcPr>
          <w:p w:rsidR="004161BF" w:rsidRPr="004161BF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0.0</w:t>
            </w:r>
          </w:p>
        </w:tc>
      </w:tr>
      <w:tr w:rsidR="004161BF" w:rsidRPr="002D3D0F" w:rsidTr="004161BF">
        <w:trPr>
          <w:cantSplit/>
          <w:trHeight w:val="97"/>
        </w:trPr>
        <w:tc>
          <w:tcPr>
            <w:tcW w:w="1803" w:type="dxa"/>
          </w:tcPr>
          <w:p w:rsidR="004161BF" w:rsidRPr="00B824ED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textAlignment w:val="baseline"/>
              <w:rPr>
                <w:szCs w:val="20"/>
              </w:rPr>
            </w:pPr>
            <w:r w:rsidRPr="001F6FC2">
              <w:rPr>
                <w:sz w:val="22"/>
                <w:szCs w:val="18"/>
              </w:rPr>
              <w:t>Renal Disorder</w:t>
            </w:r>
          </w:p>
        </w:tc>
        <w:tc>
          <w:tcPr>
            <w:tcW w:w="1377" w:type="dxa"/>
          </w:tcPr>
          <w:p w:rsidR="004161BF" w:rsidRPr="00B824ED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textAlignment w:val="baseline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Common</w:t>
            </w:r>
          </w:p>
        </w:tc>
        <w:tc>
          <w:tcPr>
            <w:tcW w:w="1718" w:type="dxa"/>
          </w:tcPr>
          <w:p w:rsidR="004161BF" w:rsidRPr="001F6FC2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ind w:left="20" w:hanging="20"/>
              <w:jc w:val="center"/>
              <w:textAlignment w:val="baseline"/>
              <w:rPr>
                <w:sz w:val="22"/>
                <w:szCs w:val="18"/>
                <w:highlight w:val="yellow"/>
              </w:rPr>
            </w:pPr>
            <w:r w:rsidRPr="001F6FC2">
              <w:rPr>
                <w:sz w:val="22"/>
                <w:szCs w:val="18"/>
                <w:highlight w:val="yellow"/>
              </w:rPr>
              <w:t>Renal disorder****</w:t>
            </w:r>
          </w:p>
        </w:tc>
        <w:tc>
          <w:tcPr>
            <w:tcW w:w="1391" w:type="dxa"/>
          </w:tcPr>
          <w:p w:rsidR="004161BF" w:rsidRPr="004161BF" w:rsidDel="00D54564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ind w:left="960" w:hanging="24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7.6</w:t>
            </w:r>
          </w:p>
        </w:tc>
        <w:tc>
          <w:tcPr>
            <w:tcW w:w="992" w:type="dxa"/>
          </w:tcPr>
          <w:p w:rsidR="004161BF" w:rsidRPr="004161BF" w:rsidDel="00D54564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textAlignment w:val="baseline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0.9</w:t>
            </w:r>
          </w:p>
        </w:tc>
        <w:tc>
          <w:tcPr>
            <w:tcW w:w="851" w:type="dxa"/>
          </w:tcPr>
          <w:p w:rsidR="004161BF" w:rsidRPr="004161BF" w:rsidDel="00D54564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ind w:left="240" w:hanging="240"/>
              <w:textAlignment w:val="baseline"/>
              <w:rPr>
                <w:sz w:val="22"/>
                <w:szCs w:val="22"/>
                <w:highlight w:val="yellow"/>
              </w:rPr>
            </w:pPr>
            <w:r w:rsidRPr="004161BF">
              <w:rPr>
                <w:sz w:val="22"/>
                <w:szCs w:val="22"/>
                <w:highlight w:val="yellow"/>
              </w:rPr>
              <w:t>1.7</w:t>
            </w:r>
          </w:p>
        </w:tc>
        <w:tc>
          <w:tcPr>
            <w:tcW w:w="1134" w:type="dxa"/>
          </w:tcPr>
          <w:p w:rsidR="004161BF" w:rsidRPr="004161BF" w:rsidRDefault="004161BF" w:rsidP="004161B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59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4161BF">
              <w:rPr>
                <w:sz w:val="22"/>
                <w:szCs w:val="22"/>
              </w:rPr>
              <w:t>0.0</w:t>
            </w:r>
          </w:p>
        </w:tc>
      </w:tr>
    </w:tbl>
    <w:p w:rsidR="004161BF" w:rsidRPr="00B824ED" w:rsidRDefault="004161BF" w:rsidP="004161BF">
      <w:pPr>
        <w:pStyle w:val="TblFootnote"/>
        <w:tabs>
          <w:tab w:val="clear" w:pos="259"/>
        </w:tabs>
        <w:ind w:left="0" w:firstLine="0"/>
      </w:pPr>
      <w:r w:rsidRPr="00340954">
        <w:t xml:space="preserve">Abbreviations:  ALT = alanine </w:t>
      </w:r>
      <w:r w:rsidRPr="004161BF">
        <w:rPr>
          <w:color w:val="FF0000"/>
        </w:rPr>
        <w:t>aminotransferase</w:t>
      </w:r>
      <w:r w:rsidRPr="00340954">
        <w:t xml:space="preserve">; AST = aspartate </w:t>
      </w:r>
      <w:r w:rsidRPr="004161BF">
        <w:rPr>
          <w:color w:val="FF0000"/>
        </w:rPr>
        <w:t>aminotransferase</w:t>
      </w:r>
      <w:r w:rsidRPr="00340954">
        <w:t>; CTCAE = Common Terminology Criteria for Adverse Event; NCI = National Cancer Institute; SGO</w:t>
      </w:r>
      <w:r>
        <w:t xml:space="preserve">T = serum </w:t>
      </w:r>
      <w:proofErr w:type="spellStart"/>
      <w:r>
        <w:t>glutamic</w:t>
      </w:r>
      <w:proofErr w:type="spellEnd"/>
      <w:r>
        <w:t xml:space="preserve"> </w:t>
      </w:r>
      <w:proofErr w:type="spellStart"/>
      <w:r>
        <w:t>oxaloacectic</w:t>
      </w:r>
      <w:proofErr w:type="spellEnd"/>
      <w:r>
        <w:t xml:space="preserve"> </w:t>
      </w:r>
      <w:proofErr w:type="spellStart"/>
      <w:r w:rsidRPr="004161BF">
        <w:rPr>
          <w:color w:val="FF0000"/>
        </w:rPr>
        <w:t>aminotransferase</w:t>
      </w:r>
      <w:proofErr w:type="spellEnd"/>
      <w:r w:rsidRPr="00340954">
        <w:t xml:space="preserve">; </w:t>
      </w:r>
      <w:r w:rsidRPr="00B824ED">
        <w:t xml:space="preserve">SGPT = serum glutamic pyruvic </w:t>
      </w:r>
      <w:r w:rsidRPr="004161BF">
        <w:rPr>
          <w:color w:val="FF0000"/>
        </w:rPr>
        <w:t>aminotransferase</w:t>
      </w:r>
      <w:r w:rsidRPr="00B824ED">
        <w:t>.</w:t>
      </w:r>
    </w:p>
    <w:p w:rsidR="004161BF" w:rsidRPr="00B824ED" w:rsidRDefault="004161BF" w:rsidP="004161BF">
      <w:pPr>
        <w:pStyle w:val="TblFootnote"/>
        <w:rPr>
          <w:rFonts w:cs="Arial"/>
          <w:color w:val="000000"/>
        </w:rPr>
      </w:pPr>
      <w:r w:rsidRPr="00B824ED">
        <w:rPr>
          <w:position w:val="4"/>
        </w:rPr>
        <w:t>*</w:t>
      </w:r>
      <w:r w:rsidRPr="00B824ED">
        <w:tab/>
        <w:t xml:space="preserve">Definition of frequency terms:  </w:t>
      </w:r>
      <w:r w:rsidRPr="00B824ED">
        <w:rPr>
          <w:rFonts w:cs="Arial"/>
          <w:color w:val="000000"/>
        </w:rPr>
        <w:t xml:space="preserve">Very common - </w:t>
      </w:r>
      <w:r w:rsidRPr="00B824ED">
        <w:t>≥ </w:t>
      </w:r>
      <w:r w:rsidRPr="00B824ED">
        <w:rPr>
          <w:rFonts w:cs="Arial"/>
          <w:color w:val="000000"/>
        </w:rPr>
        <w:t xml:space="preserve">10%; Common - &gt; 5% and &lt; 10%.  For the purpose of this table, a cutoff of 5% was used for inclusion of all events where the reporter considered a possible relationship to </w:t>
      </w:r>
      <w:proofErr w:type="spellStart"/>
      <w:r w:rsidRPr="00B824ED">
        <w:rPr>
          <w:rFonts w:cs="Arial"/>
          <w:color w:val="000000"/>
        </w:rPr>
        <w:t>pemetrexed</w:t>
      </w:r>
      <w:proofErr w:type="spellEnd"/>
      <w:r w:rsidRPr="00B824ED">
        <w:rPr>
          <w:rFonts w:cs="Arial"/>
          <w:color w:val="000000"/>
        </w:rPr>
        <w:t>.</w:t>
      </w:r>
    </w:p>
    <w:p w:rsidR="004161BF" w:rsidRPr="00B824ED" w:rsidRDefault="004161BF" w:rsidP="004161BF">
      <w:pPr>
        <w:pStyle w:val="TblFootnote"/>
        <w:rPr>
          <w:rFonts w:cs="Arial"/>
        </w:rPr>
      </w:pPr>
      <w:r w:rsidRPr="00B824ED">
        <w:rPr>
          <w:position w:val="4"/>
        </w:rPr>
        <w:t xml:space="preserve">** </w:t>
      </w:r>
      <w:r w:rsidRPr="00B824ED">
        <w:t>Refer to NCI CTCAE Criteria (Version 3.0; NCI 2003) for each grade of toxicity. The reporting rates shown are according to CTCAE version 3.0</w:t>
      </w:r>
      <w:r w:rsidRPr="00B824ED">
        <w:rPr>
          <w:rFonts w:cs="Arial"/>
          <w:color w:val="000000"/>
        </w:rPr>
        <w:t>.</w:t>
      </w:r>
    </w:p>
    <w:p w:rsidR="004161BF" w:rsidRDefault="004161BF" w:rsidP="004161BF">
      <w:pPr>
        <w:bidi w:val="0"/>
        <w:ind w:left="284" w:hanging="284"/>
        <w:rPr>
          <w:sz w:val="20"/>
          <w:szCs w:val="20"/>
        </w:rPr>
      </w:pPr>
      <w:r w:rsidRPr="00B824ED">
        <w:rPr>
          <w:sz w:val="20"/>
          <w:szCs w:val="20"/>
        </w:rPr>
        <w:t xml:space="preserve">*** Integrated adverse reactions table combines the results of the JMEN </w:t>
      </w:r>
      <w:proofErr w:type="spellStart"/>
      <w:r w:rsidRPr="00B824ED">
        <w:rPr>
          <w:sz w:val="20"/>
          <w:szCs w:val="20"/>
        </w:rPr>
        <w:t>pemetrexed</w:t>
      </w:r>
      <w:proofErr w:type="spellEnd"/>
      <w:r w:rsidRPr="00B824ED">
        <w:rPr>
          <w:sz w:val="20"/>
          <w:szCs w:val="20"/>
        </w:rPr>
        <w:t xml:space="preserve"> maintenance (N=663) and PARAMOUNT continuation </w:t>
      </w:r>
      <w:proofErr w:type="spellStart"/>
      <w:r w:rsidRPr="00B824ED">
        <w:rPr>
          <w:sz w:val="20"/>
          <w:szCs w:val="20"/>
        </w:rPr>
        <w:t>pemetrexed</w:t>
      </w:r>
      <w:proofErr w:type="spellEnd"/>
      <w:r w:rsidRPr="00B824ED">
        <w:rPr>
          <w:sz w:val="20"/>
          <w:szCs w:val="20"/>
        </w:rPr>
        <w:t xml:space="preserve"> maintenance (N=539) studies.</w:t>
      </w:r>
    </w:p>
    <w:p w:rsidR="00E51847" w:rsidRPr="004161BF" w:rsidRDefault="004161BF" w:rsidP="004161BF">
      <w:pPr>
        <w:bidi w:val="0"/>
        <w:rPr>
          <w:lang w:val="en-GB" w:eastAsia="en-US" w:bidi="ar-SA"/>
        </w:rPr>
      </w:pPr>
      <w:r w:rsidRPr="009036DC">
        <w:rPr>
          <w:sz w:val="20"/>
          <w:szCs w:val="20"/>
        </w:rPr>
        <w:t xml:space="preserve">**** </w:t>
      </w:r>
      <w:r w:rsidRPr="001F6FC2">
        <w:rPr>
          <w:sz w:val="20"/>
          <w:szCs w:val="20"/>
          <w:highlight w:val="yellow"/>
        </w:rPr>
        <w:t xml:space="preserve">Combined term includes increased serum/blood </w:t>
      </w:r>
      <w:proofErr w:type="spellStart"/>
      <w:r w:rsidRPr="001F6FC2">
        <w:rPr>
          <w:sz w:val="20"/>
          <w:szCs w:val="20"/>
          <w:highlight w:val="yellow"/>
        </w:rPr>
        <w:t>creatinine</w:t>
      </w:r>
      <w:proofErr w:type="spellEnd"/>
      <w:r w:rsidRPr="001F6FC2">
        <w:rPr>
          <w:sz w:val="20"/>
          <w:szCs w:val="20"/>
          <w:highlight w:val="yellow"/>
        </w:rPr>
        <w:t xml:space="preserve">, decreased </w:t>
      </w:r>
      <w:proofErr w:type="spellStart"/>
      <w:r w:rsidRPr="001F6FC2">
        <w:rPr>
          <w:sz w:val="20"/>
          <w:szCs w:val="20"/>
          <w:highlight w:val="yellow"/>
        </w:rPr>
        <w:t>glomerular</w:t>
      </w:r>
      <w:proofErr w:type="spellEnd"/>
      <w:r w:rsidRPr="001F6FC2">
        <w:rPr>
          <w:sz w:val="20"/>
          <w:szCs w:val="20"/>
          <w:highlight w:val="yellow"/>
        </w:rPr>
        <w:t xml:space="preserve"> filtration rate, renal failure and renal/genitourinary- other.</w:t>
      </w:r>
    </w:p>
    <w:p w:rsidR="000A5CBB" w:rsidRDefault="000A5CBB" w:rsidP="000A5CBB">
      <w:pPr>
        <w:pStyle w:val="Style1"/>
        <w:adjustRightInd w:val="0"/>
        <w:rPr>
          <w:rFonts w:ascii="Calibri" w:hAnsi="Calibri"/>
          <w:b/>
          <w:bCs/>
          <w:sz w:val="20"/>
          <w:lang w:val="en-GB"/>
        </w:rPr>
      </w:pPr>
    </w:p>
    <w:p w:rsidR="00EB1B6E" w:rsidRDefault="00EB1B6E" w:rsidP="00EB1B6E">
      <w:pPr>
        <w:ind w:left="-143" w:right="-142"/>
        <w:rPr>
          <w:b/>
          <w:bCs/>
          <w:sz w:val="22"/>
          <w:szCs w:val="22"/>
          <w:rtl/>
        </w:rPr>
      </w:pPr>
      <w:r w:rsidRPr="00B5004E">
        <w:rPr>
          <w:rFonts w:hint="cs"/>
          <w:b/>
          <w:bCs/>
          <w:sz w:val="22"/>
          <w:szCs w:val="22"/>
          <w:rtl/>
        </w:rPr>
        <w:t>מצ"ב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1670EF">
        <w:rPr>
          <w:b/>
          <w:bCs/>
          <w:sz w:val="22"/>
          <w:szCs w:val="22"/>
          <w:rtl/>
        </w:rPr>
        <w:t>העלון, שבו מסומנ</w:t>
      </w:r>
      <w:r>
        <w:rPr>
          <w:rFonts w:hint="cs"/>
          <w:b/>
          <w:bCs/>
          <w:sz w:val="22"/>
          <w:szCs w:val="22"/>
          <w:rtl/>
        </w:rPr>
        <w:t>ות</w:t>
      </w:r>
      <w:r w:rsidRPr="001670EF">
        <w:rPr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 xml:space="preserve">ההחמרות </w:t>
      </w:r>
      <w:r w:rsidRPr="001670EF">
        <w:rPr>
          <w:b/>
          <w:bCs/>
          <w:sz w:val="22"/>
          <w:szCs w:val="22"/>
          <w:rtl/>
        </w:rPr>
        <w:t>המבוקש</w:t>
      </w:r>
      <w:r>
        <w:rPr>
          <w:rFonts w:hint="cs"/>
          <w:b/>
          <w:bCs/>
          <w:sz w:val="22"/>
          <w:szCs w:val="22"/>
          <w:rtl/>
        </w:rPr>
        <w:t xml:space="preserve">ות  </w:t>
      </w:r>
      <w:r w:rsidRPr="00C02735">
        <w:rPr>
          <w:rFonts w:hint="cs"/>
          <w:b/>
          <w:bCs/>
          <w:sz w:val="22"/>
          <w:szCs w:val="22"/>
          <w:highlight w:val="yellow"/>
          <w:rtl/>
        </w:rPr>
        <w:t>על רקע צהוב</w:t>
      </w:r>
      <w:r>
        <w:rPr>
          <w:rFonts w:hint="cs"/>
          <w:b/>
          <w:bCs/>
          <w:sz w:val="22"/>
          <w:szCs w:val="22"/>
          <w:rtl/>
        </w:rPr>
        <w:t>.</w:t>
      </w:r>
    </w:p>
    <w:p w:rsidR="000C2846" w:rsidRDefault="00EB1B6E" w:rsidP="00EB1B6E">
      <w:pPr>
        <w:pBdr>
          <w:bottom w:val="dotted" w:sz="24" w:space="1" w:color="auto"/>
        </w:pBdr>
        <w:ind w:left="-143" w:right="-142"/>
        <w:rPr>
          <w:b/>
          <w:bCs/>
          <w:sz w:val="22"/>
          <w:szCs w:val="22"/>
          <w:rtl/>
        </w:rPr>
      </w:pPr>
      <w:r>
        <w:rPr>
          <w:rFonts w:hint="cs"/>
          <w:rtl/>
        </w:rPr>
        <w:t xml:space="preserve">שינויים שאינם בגדר החמרות סומנו </w:t>
      </w:r>
      <w:r w:rsidRPr="00B5004E">
        <w:rPr>
          <w:rFonts w:hint="cs"/>
          <w:u w:val="single"/>
          <w:rtl/>
        </w:rPr>
        <w:t>(בעלון)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 xml:space="preserve">בטקסט </w:t>
      </w:r>
      <w:r w:rsidRPr="00EB1B6E">
        <w:rPr>
          <w:rFonts w:hint="cs"/>
          <w:b/>
          <w:bCs/>
          <w:sz w:val="22"/>
          <w:szCs w:val="22"/>
          <w:highlight w:val="lightGray"/>
          <w:rtl/>
        </w:rPr>
        <w:t>אפור</w:t>
      </w:r>
    </w:p>
    <w:p w:rsidR="003E5906" w:rsidRDefault="003E5906" w:rsidP="00EB1B6E">
      <w:pPr>
        <w:pBdr>
          <w:bottom w:val="dotted" w:sz="24" w:space="1" w:color="auto"/>
        </w:pBdr>
        <w:ind w:left="-143" w:right="-142"/>
        <w:rPr>
          <w:b/>
          <w:bCs/>
          <w:sz w:val="22"/>
          <w:szCs w:val="22"/>
          <w:rtl/>
        </w:rPr>
      </w:pPr>
    </w:p>
    <w:p w:rsidR="003E5906" w:rsidRDefault="003E5906" w:rsidP="00EB1B6E">
      <w:pPr>
        <w:pBdr>
          <w:bottom w:val="dotted" w:sz="24" w:space="1" w:color="auto"/>
        </w:pBdr>
        <w:ind w:left="-143" w:right="-142"/>
        <w:rPr>
          <w:b/>
          <w:bCs/>
          <w:sz w:val="22"/>
          <w:szCs w:val="22"/>
          <w:rtl/>
        </w:rPr>
      </w:pPr>
    </w:p>
    <w:p w:rsidR="003E5906" w:rsidRDefault="003E5906" w:rsidP="00EB1B6E">
      <w:pPr>
        <w:pBdr>
          <w:bottom w:val="dotted" w:sz="24" w:space="1" w:color="auto"/>
        </w:pBdr>
        <w:ind w:left="-143" w:right="-142"/>
        <w:rPr>
          <w:rFonts w:cs="David Transparent"/>
          <w:sz w:val="18"/>
          <w:szCs w:val="18"/>
          <w:rtl/>
        </w:rPr>
      </w:pPr>
    </w:p>
    <w:p w:rsidR="003E5906" w:rsidRDefault="000C2846" w:rsidP="00F621EC">
      <w:pPr>
        <w:pBdr>
          <w:bottom w:val="dotted" w:sz="24" w:space="1" w:color="auto"/>
        </w:pBdr>
        <w:ind w:left="-143" w:right="-142"/>
        <w:rPr>
          <w:rFonts w:ascii="Calibri" w:hAnsi="Calibri" w:hint="cs"/>
          <w:rtl/>
        </w:rPr>
      </w:pPr>
      <w:r>
        <w:rPr>
          <w:rFonts w:cs="David Transparent" w:hint="cs"/>
          <w:rtl/>
        </w:rPr>
        <w:t xml:space="preserve"> </w:t>
      </w:r>
    </w:p>
    <w:p w:rsidR="000C2846" w:rsidRDefault="000C2846" w:rsidP="009B5880">
      <w:pPr>
        <w:pStyle w:val="3"/>
        <w:jc w:val="left"/>
        <w:rPr>
          <w:rFonts w:cs="David Transparent"/>
          <w:szCs w:val="24"/>
          <w:rtl/>
        </w:rPr>
      </w:pPr>
    </w:p>
    <w:sectPr w:rsidR="000C2846" w:rsidSect="00EF044A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C66" w:rsidRDefault="00707C66">
      <w:r>
        <w:separator/>
      </w:r>
    </w:p>
  </w:endnote>
  <w:endnote w:type="continuationSeparator" w:id="0">
    <w:p w:rsidR="00707C66" w:rsidRDefault="00707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bon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C66" w:rsidRDefault="00707C66">
      <w:r>
        <w:separator/>
      </w:r>
    </w:p>
  </w:footnote>
  <w:footnote w:type="continuationSeparator" w:id="0">
    <w:p w:rsidR="00707C66" w:rsidRDefault="00707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4379"/>
    <w:multiLevelType w:val="hybridMultilevel"/>
    <w:tmpl w:val="84FAF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32160B"/>
    <w:multiLevelType w:val="hybridMultilevel"/>
    <w:tmpl w:val="92D45E74"/>
    <w:lvl w:ilvl="0" w:tplc="0409000F">
      <w:start w:val="1"/>
      <w:numFmt w:val="decimal"/>
      <w:lvlText w:val="%1."/>
      <w:lvlJc w:val="left"/>
      <w:pPr>
        <w:tabs>
          <w:tab w:val="num" w:pos="1297"/>
        </w:tabs>
        <w:ind w:left="129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7"/>
        </w:tabs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7"/>
        </w:tabs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7"/>
        </w:tabs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7"/>
        </w:tabs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7"/>
        </w:tabs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7"/>
        </w:tabs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7"/>
        </w:tabs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7"/>
        </w:tabs>
        <w:ind w:left="7057" w:hanging="180"/>
      </w:pPr>
    </w:lvl>
  </w:abstractNum>
  <w:abstractNum w:abstractNumId="2">
    <w:nsid w:val="2B09258D"/>
    <w:multiLevelType w:val="hybridMultilevel"/>
    <w:tmpl w:val="0A06E22E"/>
    <w:lvl w:ilvl="0" w:tplc="5AF027EC">
      <w:start w:val="20"/>
      <w:numFmt w:val="bullet"/>
      <w:lvlText w:val=""/>
      <w:lvlJc w:val="left"/>
      <w:pPr>
        <w:tabs>
          <w:tab w:val="num" w:pos="262"/>
        </w:tabs>
        <w:ind w:left="262" w:hanging="405"/>
      </w:pPr>
      <w:rPr>
        <w:rFonts w:ascii="Wingdings" w:eastAsia="Times New Roman" w:hAnsi="Wingdings" w:cs="Miriam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3">
    <w:nsid w:val="318166BC"/>
    <w:multiLevelType w:val="hybridMultilevel"/>
    <w:tmpl w:val="FEBE7578"/>
    <w:lvl w:ilvl="0" w:tplc="1C16D1D6">
      <w:start w:val="2"/>
      <w:numFmt w:val="bullet"/>
      <w:lvlText w:val=""/>
      <w:lvlJc w:val="left"/>
      <w:pPr>
        <w:tabs>
          <w:tab w:val="num" w:pos="262"/>
        </w:tabs>
        <w:ind w:left="262" w:right="262" w:hanging="405"/>
      </w:pPr>
      <w:rPr>
        <w:rFonts w:ascii="Wingdings" w:hAnsi="Wingdings" w:cs="Miriam" w:hint="default"/>
        <w:sz w:val="36"/>
        <w:lang w:bidi="he-IL"/>
      </w:rPr>
    </w:lvl>
    <w:lvl w:ilvl="1" w:tplc="040D0003" w:tentative="1">
      <w:start w:val="1"/>
      <w:numFmt w:val="bullet"/>
      <w:lvlText w:val="o"/>
      <w:lvlJc w:val="left"/>
      <w:pPr>
        <w:tabs>
          <w:tab w:val="num" w:pos="937"/>
        </w:tabs>
        <w:ind w:left="937" w:right="93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657"/>
        </w:tabs>
        <w:ind w:left="1657" w:right="165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377"/>
        </w:tabs>
        <w:ind w:left="2377" w:right="237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097"/>
        </w:tabs>
        <w:ind w:left="3097" w:right="309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817"/>
        </w:tabs>
        <w:ind w:left="3817" w:right="381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537"/>
        </w:tabs>
        <w:ind w:left="4537" w:right="453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257"/>
        </w:tabs>
        <w:ind w:left="5257" w:right="525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977"/>
        </w:tabs>
        <w:ind w:left="5977" w:right="5977" w:hanging="360"/>
      </w:pPr>
      <w:rPr>
        <w:rFonts w:ascii="Wingdings" w:hAnsi="Wingdings" w:hint="default"/>
      </w:rPr>
    </w:lvl>
  </w:abstractNum>
  <w:abstractNum w:abstractNumId="4">
    <w:nsid w:val="6C321A35"/>
    <w:multiLevelType w:val="hybridMultilevel"/>
    <w:tmpl w:val="3CD08514"/>
    <w:lvl w:ilvl="0" w:tplc="D7DA808C">
      <w:start w:val="2"/>
      <w:numFmt w:val="bullet"/>
      <w:lvlText w:val=""/>
      <w:lvlJc w:val="left"/>
      <w:pPr>
        <w:tabs>
          <w:tab w:val="num" w:pos="405"/>
        </w:tabs>
        <w:ind w:left="405" w:right="262" w:hanging="405"/>
      </w:pPr>
      <w:rPr>
        <w:rFonts w:ascii="Wingdings" w:eastAsia="Times New Roman" w:hAnsi="Wingdings" w:cs="Miriam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5">
    <w:nsid w:val="6C6B01C8"/>
    <w:multiLevelType w:val="hybridMultilevel"/>
    <w:tmpl w:val="E520B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540F4E"/>
    <w:multiLevelType w:val="hybridMultilevel"/>
    <w:tmpl w:val="9624659C"/>
    <w:lvl w:ilvl="0" w:tplc="CED094F2">
      <w:start w:val="2"/>
      <w:numFmt w:val="bullet"/>
      <w:lvlText w:val=""/>
      <w:lvlJc w:val="left"/>
      <w:pPr>
        <w:tabs>
          <w:tab w:val="num" w:pos="405"/>
        </w:tabs>
        <w:ind w:left="0" w:firstLine="0"/>
      </w:pPr>
      <w:rPr>
        <w:rFonts w:ascii="Wingdings" w:eastAsia="Times New Roman" w:hAnsi="Wingdings" w:cs="Miriam" w:hint="default"/>
        <w:sz w:val="32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65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37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09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81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53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25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5977" w:hanging="360"/>
      </w:pPr>
      <w:rPr>
        <w:rFonts w:ascii="Wingdings" w:hAnsi="Wingdings" w:hint="default"/>
      </w:rPr>
    </w:lvl>
  </w:abstractNum>
  <w:abstractNum w:abstractNumId="7">
    <w:nsid w:val="798709AA"/>
    <w:multiLevelType w:val="hybridMultilevel"/>
    <w:tmpl w:val="DA0A3E76"/>
    <w:lvl w:ilvl="0" w:tplc="D7DA808C">
      <w:start w:val="2"/>
      <w:numFmt w:val="bullet"/>
      <w:lvlText w:val=""/>
      <w:lvlJc w:val="left"/>
      <w:pPr>
        <w:tabs>
          <w:tab w:val="num" w:pos="405"/>
        </w:tabs>
        <w:ind w:left="405" w:right="262" w:hanging="405"/>
      </w:pPr>
      <w:rPr>
        <w:rFonts w:ascii="Wingdings" w:eastAsia="Times New Roman" w:hAnsi="Wingdings" w:cs="Miriam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224DB"/>
    <w:rsid w:val="0000553B"/>
    <w:rsid w:val="000239E6"/>
    <w:rsid w:val="00036FAE"/>
    <w:rsid w:val="0004395B"/>
    <w:rsid w:val="00051422"/>
    <w:rsid w:val="0006251A"/>
    <w:rsid w:val="00075F8D"/>
    <w:rsid w:val="0008730F"/>
    <w:rsid w:val="000A5CBB"/>
    <w:rsid w:val="000B4C68"/>
    <w:rsid w:val="000C2846"/>
    <w:rsid w:val="000C6C9E"/>
    <w:rsid w:val="000C7212"/>
    <w:rsid w:val="000F399A"/>
    <w:rsid w:val="000F589A"/>
    <w:rsid w:val="00100AEF"/>
    <w:rsid w:val="00106FFC"/>
    <w:rsid w:val="00113E4A"/>
    <w:rsid w:val="00116C09"/>
    <w:rsid w:val="00124867"/>
    <w:rsid w:val="001253AE"/>
    <w:rsid w:val="001432CC"/>
    <w:rsid w:val="00152F5C"/>
    <w:rsid w:val="00173032"/>
    <w:rsid w:val="001B0DD2"/>
    <w:rsid w:val="001C0E75"/>
    <w:rsid w:val="001C194D"/>
    <w:rsid w:val="001C44EA"/>
    <w:rsid w:val="001D51B0"/>
    <w:rsid w:val="001E524B"/>
    <w:rsid w:val="00200BAF"/>
    <w:rsid w:val="0021113D"/>
    <w:rsid w:val="00213979"/>
    <w:rsid w:val="00215D1B"/>
    <w:rsid w:val="00242E69"/>
    <w:rsid w:val="002528C8"/>
    <w:rsid w:val="0026363F"/>
    <w:rsid w:val="00276608"/>
    <w:rsid w:val="00284678"/>
    <w:rsid w:val="0029191E"/>
    <w:rsid w:val="00291DD8"/>
    <w:rsid w:val="002A08C4"/>
    <w:rsid w:val="002A6713"/>
    <w:rsid w:val="002D6E81"/>
    <w:rsid w:val="003012A5"/>
    <w:rsid w:val="0033554A"/>
    <w:rsid w:val="003377F0"/>
    <w:rsid w:val="003473A9"/>
    <w:rsid w:val="00350CA1"/>
    <w:rsid w:val="00382E17"/>
    <w:rsid w:val="0039091A"/>
    <w:rsid w:val="003A6C23"/>
    <w:rsid w:val="003B6682"/>
    <w:rsid w:val="003E5906"/>
    <w:rsid w:val="00415862"/>
    <w:rsid w:val="004161BF"/>
    <w:rsid w:val="004224DB"/>
    <w:rsid w:val="00447B6C"/>
    <w:rsid w:val="00447C61"/>
    <w:rsid w:val="00467826"/>
    <w:rsid w:val="004811AB"/>
    <w:rsid w:val="00491CF5"/>
    <w:rsid w:val="004A20CA"/>
    <w:rsid w:val="004B03C9"/>
    <w:rsid w:val="004B0CF7"/>
    <w:rsid w:val="004B2E04"/>
    <w:rsid w:val="004C2AAE"/>
    <w:rsid w:val="004E07E5"/>
    <w:rsid w:val="004E60D5"/>
    <w:rsid w:val="00507B37"/>
    <w:rsid w:val="00521B24"/>
    <w:rsid w:val="005431B7"/>
    <w:rsid w:val="005A63E4"/>
    <w:rsid w:val="005B32BC"/>
    <w:rsid w:val="005B3DB6"/>
    <w:rsid w:val="005B75ED"/>
    <w:rsid w:val="005D727A"/>
    <w:rsid w:val="005E5F06"/>
    <w:rsid w:val="005E7182"/>
    <w:rsid w:val="00630A26"/>
    <w:rsid w:val="00631436"/>
    <w:rsid w:val="00671516"/>
    <w:rsid w:val="006758D3"/>
    <w:rsid w:val="00687CF1"/>
    <w:rsid w:val="006908E6"/>
    <w:rsid w:val="00696802"/>
    <w:rsid w:val="006A427B"/>
    <w:rsid w:val="006A72A2"/>
    <w:rsid w:val="006E64A9"/>
    <w:rsid w:val="007063BF"/>
    <w:rsid w:val="00707C66"/>
    <w:rsid w:val="00715312"/>
    <w:rsid w:val="00717D53"/>
    <w:rsid w:val="00734508"/>
    <w:rsid w:val="00743250"/>
    <w:rsid w:val="007726DC"/>
    <w:rsid w:val="007751AF"/>
    <w:rsid w:val="00791B61"/>
    <w:rsid w:val="007A7DF8"/>
    <w:rsid w:val="007B2882"/>
    <w:rsid w:val="007B688E"/>
    <w:rsid w:val="007D39C7"/>
    <w:rsid w:val="00800C18"/>
    <w:rsid w:val="00801A12"/>
    <w:rsid w:val="00811A6C"/>
    <w:rsid w:val="008121FD"/>
    <w:rsid w:val="008252C6"/>
    <w:rsid w:val="00844139"/>
    <w:rsid w:val="00856585"/>
    <w:rsid w:val="00863C4E"/>
    <w:rsid w:val="00865D73"/>
    <w:rsid w:val="00873325"/>
    <w:rsid w:val="00886885"/>
    <w:rsid w:val="008D25FD"/>
    <w:rsid w:val="008D4CE3"/>
    <w:rsid w:val="008D7D1F"/>
    <w:rsid w:val="008F33C7"/>
    <w:rsid w:val="00900FE8"/>
    <w:rsid w:val="0092452F"/>
    <w:rsid w:val="009344EA"/>
    <w:rsid w:val="00937132"/>
    <w:rsid w:val="009477D1"/>
    <w:rsid w:val="00951202"/>
    <w:rsid w:val="009528DE"/>
    <w:rsid w:val="00981824"/>
    <w:rsid w:val="00990AA9"/>
    <w:rsid w:val="009A15AE"/>
    <w:rsid w:val="009B1FC9"/>
    <w:rsid w:val="009B5880"/>
    <w:rsid w:val="009E7C98"/>
    <w:rsid w:val="00A21530"/>
    <w:rsid w:val="00A2691E"/>
    <w:rsid w:val="00A30E90"/>
    <w:rsid w:val="00A348B0"/>
    <w:rsid w:val="00A44D1C"/>
    <w:rsid w:val="00A5154F"/>
    <w:rsid w:val="00A6502B"/>
    <w:rsid w:val="00A73085"/>
    <w:rsid w:val="00A9665C"/>
    <w:rsid w:val="00AA3169"/>
    <w:rsid w:val="00AB0B7C"/>
    <w:rsid w:val="00AB5249"/>
    <w:rsid w:val="00AB5734"/>
    <w:rsid w:val="00AC3BB7"/>
    <w:rsid w:val="00AC6D5B"/>
    <w:rsid w:val="00AE467B"/>
    <w:rsid w:val="00AE4786"/>
    <w:rsid w:val="00AE5761"/>
    <w:rsid w:val="00B17DA9"/>
    <w:rsid w:val="00B3788A"/>
    <w:rsid w:val="00B535B1"/>
    <w:rsid w:val="00B6614E"/>
    <w:rsid w:val="00B84818"/>
    <w:rsid w:val="00B933B3"/>
    <w:rsid w:val="00B95E0C"/>
    <w:rsid w:val="00BB6D32"/>
    <w:rsid w:val="00BC462A"/>
    <w:rsid w:val="00BC69B7"/>
    <w:rsid w:val="00BD4456"/>
    <w:rsid w:val="00BF44FC"/>
    <w:rsid w:val="00C41D4B"/>
    <w:rsid w:val="00C4689F"/>
    <w:rsid w:val="00C759E4"/>
    <w:rsid w:val="00C82BFB"/>
    <w:rsid w:val="00C8558D"/>
    <w:rsid w:val="00C90024"/>
    <w:rsid w:val="00C91B1B"/>
    <w:rsid w:val="00C9502C"/>
    <w:rsid w:val="00CA5EE5"/>
    <w:rsid w:val="00CD0737"/>
    <w:rsid w:val="00CD0C27"/>
    <w:rsid w:val="00CE6081"/>
    <w:rsid w:val="00CF148C"/>
    <w:rsid w:val="00D148EB"/>
    <w:rsid w:val="00D240A9"/>
    <w:rsid w:val="00D30EBC"/>
    <w:rsid w:val="00D5656C"/>
    <w:rsid w:val="00D734EC"/>
    <w:rsid w:val="00D73575"/>
    <w:rsid w:val="00D80D0B"/>
    <w:rsid w:val="00DA39CF"/>
    <w:rsid w:val="00DB0B50"/>
    <w:rsid w:val="00DC6C0D"/>
    <w:rsid w:val="00DD1BC9"/>
    <w:rsid w:val="00DE70F9"/>
    <w:rsid w:val="00E3062B"/>
    <w:rsid w:val="00E345FC"/>
    <w:rsid w:val="00E51847"/>
    <w:rsid w:val="00E54D9B"/>
    <w:rsid w:val="00E76DD7"/>
    <w:rsid w:val="00E8229B"/>
    <w:rsid w:val="00E84478"/>
    <w:rsid w:val="00EB1B6E"/>
    <w:rsid w:val="00EB3926"/>
    <w:rsid w:val="00EC6901"/>
    <w:rsid w:val="00ED1629"/>
    <w:rsid w:val="00ED3AF8"/>
    <w:rsid w:val="00EE2E0D"/>
    <w:rsid w:val="00EE3888"/>
    <w:rsid w:val="00EF044A"/>
    <w:rsid w:val="00F0092E"/>
    <w:rsid w:val="00F16A1D"/>
    <w:rsid w:val="00F231AD"/>
    <w:rsid w:val="00F31D14"/>
    <w:rsid w:val="00F61E03"/>
    <w:rsid w:val="00F621EC"/>
    <w:rsid w:val="00F74C48"/>
    <w:rsid w:val="00F80845"/>
    <w:rsid w:val="00F90E5E"/>
    <w:rsid w:val="00FA79DC"/>
    <w:rsid w:val="00FC10E6"/>
    <w:rsid w:val="00FD53A2"/>
    <w:rsid w:val="00FF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08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734508"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0C28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4508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8481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4A9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981824"/>
    <w:rPr>
      <w:noProof/>
    </w:rPr>
  </w:style>
  <w:style w:type="paragraph" w:styleId="30">
    <w:name w:val="Body Text 3"/>
    <w:basedOn w:val="a"/>
    <w:rsid w:val="00106FFC"/>
    <w:pPr>
      <w:spacing w:after="120"/>
    </w:pPr>
    <w:rPr>
      <w:sz w:val="16"/>
      <w:szCs w:val="16"/>
    </w:rPr>
  </w:style>
  <w:style w:type="paragraph" w:customStyle="1" w:styleId="paragraph">
    <w:name w:val="paragraph"/>
    <w:basedOn w:val="a"/>
    <w:rsid w:val="00800C18"/>
    <w:pPr>
      <w:bidi w:val="0"/>
      <w:spacing w:before="120" w:line="270" w:lineRule="exact"/>
      <w:jc w:val="both"/>
    </w:pPr>
    <w:rPr>
      <w:rFonts w:ascii="Sabon" w:hAnsi="Sabon" w:cs="Times New Roman"/>
      <w:sz w:val="22"/>
      <w:szCs w:val="20"/>
      <w:lang w:val="en-GB" w:eastAsia="en-US" w:bidi="ar-SA"/>
    </w:rPr>
  </w:style>
  <w:style w:type="paragraph" w:customStyle="1" w:styleId="Text">
    <w:name w:val="Text"/>
    <w:basedOn w:val="a"/>
    <w:link w:val="TextChar"/>
    <w:rsid w:val="00800C18"/>
    <w:pPr>
      <w:bidi w:val="0"/>
      <w:spacing w:before="120" w:line="270" w:lineRule="exact"/>
      <w:jc w:val="both"/>
    </w:pPr>
    <w:rPr>
      <w:rFonts w:ascii="Sabon" w:hAnsi="Sabon" w:cs="Times New Roman"/>
      <w:sz w:val="22"/>
      <w:szCs w:val="20"/>
      <w:lang w:val="en-GB" w:eastAsia="en-US" w:bidi="ar-SA"/>
    </w:rPr>
  </w:style>
  <w:style w:type="paragraph" w:styleId="a3">
    <w:name w:val="Date"/>
    <w:basedOn w:val="a"/>
    <w:next w:val="a"/>
    <w:rsid w:val="00800C18"/>
    <w:pPr>
      <w:bidi w:val="0"/>
      <w:spacing w:before="420" w:after="538" w:line="270" w:lineRule="exact"/>
    </w:pPr>
    <w:rPr>
      <w:rFonts w:ascii="Sabon" w:hAnsi="Sabon" w:cs="Times New Roman"/>
      <w:sz w:val="22"/>
      <w:szCs w:val="20"/>
      <w:lang w:val="en-GB" w:eastAsia="en-US" w:bidi="ar-SA"/>
    </w:rPr>
  </w:style>
  <w:style w:type="paragraph" w:styleId="a4">
    <w:name w:val="header"/>
    <w:basedOn w:val="a"/>
    <w:rsid w:val="007751A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751A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751AF"/>
  </w:style>
  <w:style w:type="paragraph" w:customStyle="1" w:styleId="CharChar">
    <w:name w:val="Char Char"/>
    <w:basedOn w:val="a"/>
    <w:rsid w:val="00DC6C0D"/>
    <w:pPr>
      <w:bidi w:val="0"/>
      <w:spacing w:after="160" w:line="240" w:lineRule="exact"/>
    </w:pPr>
    <w:rPr>
      <w:rFonts w:ascii="Verdana" w:hAnsi="Verdana" w:cs="Verdana"/>
      <w:sz w:val="20"/>
      <w:szCs w:val="20"/>
      <w:lang w:eastAsia="en-US" w:bidi="ar-SA"/>
    </w:rPr>
  </w:style>
  <w:style w:type="paragraph" w:customStyle="1" w:styleId="CharCharCharCharChar1CharCharCharCharCharChar">
    <w:name w:val="Char Char Char Char Char1 Char Char Char Char Char Char"/>
    <w:basedOn w:val="a"/>
    <w:rsid w:val="001B0DD2"/>
    <w:pPr>
      <w:bidi w:val="0"/>
      <w:spacing w:after="160" w:line="240" w:lineRule="exact"/>
    </w:pPr>
    <w:rPr>
      <w:rFonts w:ascii="Tahoma" w:hAnsi="Tahoma" w:cs="Times New Roman"/>
      <w:sz w:val="20"/>
      <w:szCs w:val="20"/>
      <w:lang w:eastAsia="en-US" w:bidi="ar-SA"/>
    </w:rPr>
  </w:style>
  <w:style w:type="character" w:customStyle="1" w:styleId="40">
    <w:name w:val="כותרת 4 תו"/>
    <w:basedOn w:val="a0"/>
    <w:link w:val="4"/>
    <w:uiPriority w:val="9"/>
    <w:rsid w:val="00B84818"/>
    <w:rPr>
      <w:rFonts w:ascii="Calibri" w:eastAsia="Times New Roman" w:hAnsi="Calibri" w:cs="Arial"/>
      <w:b/>
      <w:bCs/>
      <w:sz w:val="28"/>
      <w:szCs w:val="28"/>
      <w:lang w:eastAsia="he-IL"/>
    </w:rPr>
  </w:style>
  <w:style w:type="paragraph" w:styleId="a7">
    <w:name w:val="Body Text"/>
    <w:basedOn w:val="a"/>
    <w:link w:val="a8"/>
    <w:uiPriority w:val="99"/>
    <w:semiHidden/>
    <w:unhideWhenUsed/>
    <w:rsid w:val="00B84818"/>
    <w:pPr>
      <w:spacing w:after="120"/>
    </w:pPr>
  </w:style>
  <w:style w:type="character" w:customStyle="1" w:styleId="a8">
    <w:name w:val="גוף טקסט תו"/>
    <w:basedOn w:val="a0"/>
    <w:link w:val="a7"/>
    <w:uiPriority w:val="99"/>
    <w:semiHidden/>
    <w:rsid w:val="00B84818"/>
    <w:rPr>
      <w:rFonts w:cs="David"/>
      <w:sz w:val="24"/>
      <w:szCs w:val="24"/>
      <w:lang w:eastAsia="he-IL"/>
    </w:rPr>
  </w:style>
  <w:style w:type="paragraph" w:styleId="a9">
    <w:name w:val="Balloon Text"/>
    <w:basedOn w:val="a"/>
    <w:link w:val="aa"/>
    <w:semiHidden/>
    <w:unhideWhenUsed/>
    <w:rsid w:val="000C2846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semiHidden/>
    <w:rsid w:val="000C2846"/>
    <w:rPr>
      <w:rFonts w:ascii="Tahoma" w:hAnsi="Tahoma" w:cs="Tahoma"/>
      <w:sz w:val="16"/>
      <w:szCs w:val="16"/>
      <w:lang w:eastAsia="he-IL"/>
    </w:rPr>
  </w:style>
  <w:style w:type="character" w:customStyle="1" w:styleId="20">
    <w:name w:val="כותרת 2 תו"/>
    <w:basedOn w:val="a0"/>
    <w:link w:val="2"/>
    <w:rsid w:val="000C2846"/>
    <w:rPr>
      <w:rFonts w:ascii="Arial" w:hAnsi="Arial" w:cs="Arial"/>
      <w:b/>
      <w:bCs/>
      <w:i/>
      <w:iCs/>
      <w:sz w:val="28"/>
      <w:szCs w:val="28"/>
      <w:lang w:eastAsia="he-IL"/>
    </w:rPr>
  </w:style>
  <w:style w:type="character" w:customStyle="1" w:styleId="TextChar">
    <w:name w:val="Text Char"/>
    <w:basedOn w:val="a0"/>
    <w:link w:val="Text"/>
    <w:rsid w:val="000C2846"/>
    <w:rPr>
      <w:rFonts w:ascii="Sabon" w:hAnsi="Sabon"/>
      <w:sz w:val="22"/>
      <w:lang w:val="en-GB" w:bidi="ar-SA"/>
    </w:rPr>
  </w:style>
  <w:style w:type="paragraph" w:customStyle="1" w:styleId="Nottoc-headings">
    <w:name w:val="Not toc-headings"/>
    <w:basedOn w:val="a"/>
    <w:next w:val="Text"/>
    <w:link w:val="Nottoc-headingsChar"/>
    <w:rsid w:val="000C2846"/>
    <w:pPr>
      <w:keepNext/>
      <w:keepLines/>
      <w:bidi w:val="0"/>
      <w:spacing w:before="240" w:after="60"/>
      <w:ind w:left="1701" w:hanging="1701"/>
    </w:pPr>
    <w:rPr>
      <w:rFonts w:ascii="Arial" w:hAnsi="Arial"/>
      <w:b/>
      <w:bCs/>
      <w:sz w:val="22"/>
      <w:szCs w:val="22"/>
      <w:lang w:val="en-GB"/>
    </w:rPr>
  </w:style>
  <w:style w:type="character" w:customStyle="1" w:styleId="Nottoc-headingsChar">
    <w:name w:val="Not toc-headings Char"/>
    <w:basedOn w:val="a0"/>
    <w:link w:val="Nottoc-headings"/>
    <w:rsid w:val="000C2846"/>
    <w:rPr>
      <w:rFonts w:ascii="Arial" w:hAnsi="Arial" w:cs="David"/>
      <w:b/>
      <w:bCs/>
      <w:sz w:val="22"/>
      <w:szCs w:val="22"/>
      <w:lang w:val="en-GB" w:eastAsia="he-IL"/>
    </w:rPr>
  </w:style>
  <w:style w:type="paragraph" w:customStyle="1" w:styleId="Comment">
    <w:name w:val="Comment"/>
    <w:basedOn w:val="a"/>
    <w:next w:val="Text"/>
    <w:link w:val="CommentChar"/>
    <w:rsid w:val="000C2846"/>
    <w:pPr>
      <w:keepLines/>
      <w:bidi w:val="0"/>
      <w:spacing w:before="120"/>
      <w:jc w:val="both"/>
    </w:pPr>
    <w:rPr>
      <w:rFonts w:eastAsia="MS Mincho" w:cs="Times New Roman"/>
      <w:i/>
      <w:color w:val="BF30B5"/>
      <w:lang w:bidi="ar-SA"/>
    </w:rPr>
  </w:style>
  <w:style w:type="character" w:customStyle="1" w:styleId="CommentChar">
    <w:name w:val="Comment Char"/>
    <w:link w:val="Comment"/>
    <w:rsid w:val="000C2846"/>
    <w:rPr>
      <w:rFonts w:eastAsia="MS Mincho"/>
      <w:i/>
      <w:color w:val="BF30B5"/>
      <w:sz w:val="24"/>
      <w:szCs w:val="24"/>
      <w:lang w:bidi="ar-SA"/>
    </w:rPr>
  </w:style>
  <w:style w:type="paragraph" w:customStyle="1" w:styleId="PLRHeading2">
    <w:name w:val="PLR_Heading 2"/>
    <w:basedOn w:val="a"/>
    <w:next w:val="a"/>
    <w:rsid w:val="00A348B0"/>
    <w:pPr>
      <w:tabs>
        <w:tab w:val="left" w:pos="648"/>
      </w:tabs>
      <w:bidi w:val="0"/>
      <w:spacing w:before="60"/>
    </w:pPr>
    <w:rPr>
      <w:rFonts w:ascii="Times New Roman Bold" w:hAnsi="Times New Roman Bold" w:cs="Times New Roman"/>
      <w:b/>
      <w:sz w:val="20"/>
      <w:szCs w:val="20"/>
      <w:lang w:eastAsia="en-US" w:bidi="ar-SA"/>
    </w:rPr>
  </w:style>
  <w:style w:type="paragraph" w:customStyle="1" w:styleId="PLRBodyTextIndented">
    <w:name w:val="PLR_Body Text Indented"/>
    <w:link w:val="PLRBodyTextIndentedCharChar"/>
    <w:rsid w:val="00A348B0"/>
    <w:pPr>
      <w:ind w:firstLine="648"/>
    </w:pPr>
    <w:rPr>
      <w:lang w:bidi="ar-SA"/>
    </w:rPr>
  </w:style>
  <w:style w:type="character" w:customStyle="1" w:styleId="PLRBodyTextIndentedCharChar">
    <w:name w:val="PLR_Body Text Indented Char Char"/>
    <w:basedOn w:val="a0"/>
    <w:link w:val="PLRBodyTextIndented"/>
    <w:rsid w:val="00A348B0"/>
    <w:rPr>
      <w:lang w:val="en-US" w:eastAsia="en-US" w:bidi="ar-SA"/>
    </w:rPr>
  </w:style>
  <w:style w:type="paragraph" w:customStyle="1" w:styleId="PLRHeading1">
    <w:name w:val="PLR_Heading 1"/>
    <w:rsid w:val="0039091A"/>
    <w:pPr>
      <w:tabs>
        <w:tab w:val="left" w:pos="648"/>
      </w:tabs>
      <w:spacing w:before="150"/>
    </w:pPr>
    <w:rPr>
      <w:rFonts w:ascii="Times New Roman Bold" w:hAnsi="Times New Roman Bold"/>
      <w:b/>
      <w:lang w:bidi="ar-SA"/>
    </w:rPr>
  </w:style>
  <w:style w:type="paragraph" w:customStyle="1" w:styleId="para1">
    <w:name w:val="para1"/>
    <w:basedOn w:val="a"/>
    <w:rsid w:val="0092452F"/>
    <w:pPr>
      <w:autoSpaceDE w:val="0"/>
      <w:autoSpaceDN w:val="0"/>
      <w:ind w:right="720" w:hanging="720"/>
      <w:jc w:val="both"/>
    </w:pPr>
    <w:rPr>
      <w:rFonts w:cs="Times New Roman"/>
      <w:b/>
      <w:bCs/>
      <w:sz w:val="26"/>
      <w:lang w:val="en-GB" w:eastAsia="en-US"/>
    </w:rPr>
  </w:style>
  <w:style w:type="paragraph" w:customStyle="1" w:styleId="Normal1">
    <w:name w:val="Normal1"/>
    <w:basedOn w:val="a"/>
    <w:rsid w:val="00E76DD7"/>
    <w:pPr>
      <w:jc w:val="both"/>
    </w:pPr>
    <w:rPr>
      <w:rFonts w:cs="Miriam"/>
      <w:sz w:val="26"/>
      <w:szCs w:val="26"/>
    </w:rPr>
  </w:style>
  <w:style w:type="paragraph" w:customStyle="1" w:styleId="Style1">
    <w:name w:val="Style1"/>
    <w:basedOn w:val="a"/>
    <w:rsid w:val="006E64A9"/>
    <w:pPr>
      <w:autoSpaceDE w:val="0"/>
      <w:autoSpaceDN w:val="0"/>
      <w:bidi w:val="0"/>
    </w:pPr>
    <w:rPr>
      <w:rFonts w:ascii="Univers (W1)" w:hAnsi="Univers (W1)" w:cs="Times New Roman"/>
      <w:sz w:val="22"/>
      <w:szCs w:val="20"/>
      <w:lang w:eastAsia="en-US" w:bidi="ar-SA"/>
    </w:rPr>
  </w:style>
  <w:style w:type="character" w:customStyle="1" w:styleId="60">
    <w:name w:val="כותרת 6 תו"/>
    <w:basedOn w:val="a0"/>
    <w:link w:val="6"/>
    <w:uiPriority w:val="9"/>
    <w:semiHidden/>
    <w:rsid w:val="006E64A9"/>
    <w:rPr>
      <w:rFonts w:ascii="Calibri" w:eastAsia="Times New Roman" w:hAnsi="Calibri" w:cs="Arial"/>
      <w:b/>
      <w:bCs/>
      <w:sz w:val="22"/>
      <w:szCs w:val="22"/>
      <w:lang w:eastAsia="he-IL"/>
    </w:rPr>
  </w:style>
  <w:style w:type="paragraph" w:customStyle="1" w:styleId="mdTblEntryL">
    <w:name w:val="md_Tbl Entry/L"/>
    <w:basedOn w:val="a"/>
    <w:rsid w:val="00E51847"/>
    <w:pPr>
      <w:keepNext/>
      <w:keepLines/>
      <w:bidi w:val="0"/>
      <w:spacing w:line="259" w:lineRule="atLeast"/>
    </w:pPr>
    <w:rPr>
      <w:rFonts w:cs="Times New Roman"/>
      <w:sz w:val="20"/>
      <w:szCs w:val="20"/>
      <w:lang w:eastAsia="en-US" w:bidi="ar-SA"/>
    </w:rPr>
  </w:style>
  <w:style w:type="paragraph" w:customStyle="1" w:styleId="TblFootnote">
    <w:name w:val="Tbl Footnote"/>
    <w:basedOn w:val="a"/>
    <w:next w:val="a"/>
    <w:rsid w:val="00A30E90"/>
    <w:pPr>
      <w:keepNext/>
      <w:keepLines/>
      <w:tabs>
        <w:tab w:val="left" w:pos="259"/>
      </w:tabs>
      <w:overflowPunct w:val="0"/>
      <w:autoSpaceDE w:val="0"/>
      <w:autoSpaceDN w:val="0"/>
      <w:bidi w:val="0"/>
      <w:adjustRightInd w:val="0"/>
      <w:spacing w:line="259" w:lineRule="atLeast"/>
      <w:ind w:left="259" w:hanging="259"/>
      <w:textAlignment w:val="baseline"/>
    </w:pPr>
    <w:rPr>
      <w:rFonts w:cs="Times New Roman"/>
      <w:sz w:val="20"/>
      <w:szCs w:val="20"/>
      <w:lang w:eastAsia="en-US" w:bidi="ar-SA"/>
    </w:rPr>
  </w:style>
  <w:style w:type="character" w:styleId="ab">
    <w:name w:val="annotation reference"/>
    <w:basedOn w:val="a0"/>
    <w:rsid w:val="00B17DA9"/>
    <w:rPr>
      <w:sz w:val="16"/>
      <w:szCs w:val="16"/>
    </w:rPr>
  </w:style>
  <w:style w:type="paragraph" w:customStyle="1" w:styleId="mdTblEntry">
    <w:name w:val="md_Tbl Entry"/>
    <w:basedOn w:val="a"/>
    <w:rsid w:val="000A5CBB"/>
    <w:pPr>
      <w:keepNext/>
      <w:keepLines/>
      <w:overflowPunct w:val="0"/>
      <w:autoSpaceDE w:val="0"/>
      <w:autoSpaceDN w:val="0"/>
      <w:bidi w:val="0"/>
      <w:adjustRightInd w:val="0"/>
      <w:spacing w:line="259" w:lineRule="atLeast"/>
      <w:textAlignment w:val="baseline"/>
    </w:pPr>
    <w:rPr>
      <w:rFonts w:cs="Times New Roman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08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734508"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C28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34508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481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4A9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81824"/>
    <w:rPr>
      <w:noProof/>
    </w:rPr>
  </w:style>
  <w:style w:type="paragraph" w:styleId="BodyText3">
    <w:name w:val="Body Text 3"/>
    <w:basedOn w:val="Normal"/>
    <w:rsid w:val="00106FFC"/>
    <w:pPr>
      <w:spacing w:after="120"/>
    </w:pPr>
    <w:rPr>
      <w:sz w:val="16"/>
      <w:szCs w:val="16"/>
    </w:rPr>
  </w:style>
  <w:style w:type="paragraph" w:customStyle="1" w:styleId="paragraph">
    <w:name w:val="paragraph"/>
    <w:basedOn w:val="Normal"/>
    <w:rsid w:val="00800C18"/>
    <w:pPr>
      <w:bidi w:val="0"/>
      <w:spacing w:before="120" w:line="270" w:lineRule="exact"/>
      <w:jc w:val="both"/>
    </w:pPr>
    <w:rPr>
      <w:rFonts w:ascii="Sabon" w:hAnsi="Sabon" w:cs="Times New Roman"/>
      <w:sz w:val="22"/>
      <w:szCs w:val="20"/>
      <w:lang w:val="en-GB" w:eastAsia="en-US" w:bidi="ar-SA"/>
    </w:rPr>
  </w:style>
  <w:style w:type="paragraph" w:customStyle="1" w:styleId="Text">
    <w:name w:val="Text"/>
    <w:basedOn w:val="Normal"/>
    <w:link w:val="TextChar"/>
    <w:rsid w:val="00800C18"/>
    <w:pPr>
      <w:bidi w:val="0"/>
      <w:spacing w:before="120" w:line="270" w:lineRule="exact"/>
      <w:jc w:val="both"/>
    </w:pPr>
    <w:rPr>
      <w:rFonts w:ascii="Sabon" w:hAnsi="Sabon" w:cs="Times New Roman"/>
      <w:sz w:val="22"/>
      <w:szCs w:val="20"/>
      <w:lang w:val="en-GB" w:eastAsia="en-US" w:bidi="ar-SA"/>
    </w:rPr>
  </w:style>
  <w:style w:type="paragraph" w:styleId="Date">
    <w:name w:val="Date"/>
    <w:basedOn w:val="Normal"/>
    <w:next w:val="Normal"/>
    <w:rsid w:val="00800C18"/>
    <w:pPr>
      <w:bidi w:val="0"/>
      <w:spacing w:before="420" w:after="538" w:line="270" w:lineRule="exact"/>
    </w:pPr>
    <w:rPr>
      <w:rFonts w:ascii="Sabon" w:hAnsi="Sabon" w:cs="Times New Roman"/>
      <w:sz w:val="22"/>
      <w:szCs w:val="20"/>
      <w:lang w:val="en-GB" w:eastAsia="en-US" w:bidi="ar-SA"/>
    </w:rPr>
  </w:style>
  <w:style w:type="paragraph" w:styleId="Header">
    <w:name w:val="header"/>
    <w:basedOn w:val="Normal"/>
    <w:rsid w:val="007751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51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51AF"/>
  </w:style>
  <w:style w:type="paragraph" w:customStyle="1" w:styleId="CharChar">
    <w:name w:val="Char Char"/>
    <w:basedOn w:val="Normal"/>
    <w:rsid w:val="00DC6C0D"/>
    <w:pPr>
      <w:bidi w:val="0"/>
      <w:spacing w:after="160" w:line="240" w:lineRule="exact"/>
    </w:pPr>
    <w:rPr>
      <w:rFonts w:ascii="Verdana" w:hAnsi="Verdana" w:cs="Verdana"/>
      <w:sz w:val="20"/>
      <w:szCs w:val="20"/>
      <w:lang w:eastAsia="en-US" w:bidi="ar-SA"/>
    </w:rPr>
  </w:style>
  <w:style w:type="paragraph" w:customStyle="1" w:styleId="CharCharCharCharChar1CharCharCharCharCharChar">
    <w:name w:val="Char Char Char Char Char1 Char Char Char Char Char Char"/>
    <w:basedOn w:val="Normal"/>
    <w:rsid w:val="001B0DD2"/>
    <w:pPr>
      <w:bidi w:val="0"/>
      <w:spacing w:after="160" w:line="240" w:lineRule="exact"/>
    </w:pPr>
    <w:rPr>
      <w:rFonts w:ascii="Tahoma" w:hAnsi="Tahoma" w:cs="Times New Roman"/>
      <w:sz w:val="20"/>
      <w:szCs w:val="2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B84818"/>
    <w:rPr>
      <w:rFonts w:ascii="Calibri" w:eastAsia="Times New Roman" w:hAnsi="Calibri" w:cs="Arial"/>
      <w:b/>
      <w:bCs/>
      <w:sz w:val="28"/>
      <w:szCs w:val="28"/>
      <w:lang w:eastAsia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B848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4818"/>
    <w:rPr>
      <w:rFonts w:cs="David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semiHidden/>
    <w:unhideWhenUsed/>
    <w:rsid w:val="000C2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C2846"/>
    <w:rPr>
      <w:rFonts w:ascii="Tahoma" w:hAnsi="Tahoma" w:cs="Tahoma"/>
      <w:sz w:val="16"/>
      <w:szCs w:val="16"/>
      <w:lang w:eastAsia="he-IL"/>
    </w:rPr>
  </w:style>
  <w:style w:type="character" w:customStyle="1" w:styleId="Heading2Char">
    <w:name w:val="Heading 2 Char"/>
    <w:basedOn w:val="DefaultParagraphFont"/>
    <w:link w:val="Heading2"/>
    <w:rsid w:val="000C2846"/>
    <w:rPr>
      <w:rFonts w:ascii="Arial" w:hAnsi="Arial" w:cs="Arial"/>
      <w:b/>
      <w:bCs/>
      <w:i/>
      <w:iCs/>
      <w:sz w:val="28"/>
      <w:szCs w:val="28"/>
      <w:lang w:eastAsia="he-IL"/>
    </w:rPr>
  </w:style>
  <w:style w:type="character" w:customStyle="1" w:styleId="TextChar">
    <w:name w:val="Text Char"/>
    <w:basedOn w:val="DefaultParagraphFont"/>
    <w:link w:val="Text"/>
    <w:rsid w:val="000C2846"/>
    <w:rPr>
      <w:rFonts w:ascii="Sabon" w:hAnsi="Sabon"/>
      <w:sz w:val="22"/>
      <w:lang w:val="en-GB" w:bidi="ar-SA"/>
    </w:rPr>
  </w:style>
  <w:style w:type="paragraph" w:customStyle="1" w:styleId="Nottoc-headings">
    <w:name w:val="Not toc-headings"/>
    <w:basedOn w:val="Normal"/>
    <w:next w:val="Text"/>
    <w:link w:val="Nottoc-headingsChar"/>
    <w:rsid w:val="000C2846"/>
    <w:pPr>
      <w:keepNext/>
      <w:keepLines/>
      <w:bidi w:val="0"/>
      <w:spacing w:before="240" w:after="60"/>
      <w:ind w:left="1701" w:hanging="1701"/>
    </w:pPr>
    <w:rPr>
      <w:rFonts w:ascii="Arial" w:hAnsi="Arial"/>
      <w:b/>
      <w:bCs/>
      <w:sz w:val="22"/>
      <w:szCs w:val="22"/>
      <w:lang w:val="en-GB"/>
    </w:rPr>
  </w:style>
  <w:style w:type="character" w:customStyle="1" w:styleId="Nottoc-headingsChar">
    <w:name w:val="Not toc-headings Char"/>
    <w:basedOn w:val="DefaultParagraphFont"/>
    <w:link w:val="Nottoc-headings"/>
    <w:rsid w:val="000C2846"/>
    <w:rPr>
      <w:rFonts w:ascii="Arial" w:hAnsi="Arial" w:cs="David"/>
      <w:b/>
      <w:bCs/>
      <w:sz w:val="22"/>
      <w:szCs w:val="22"/>
      <w:lang w:val="en-GB" w:eastAsia="he-IL"/>
    </w:rPr>
  </w:style>
  <w:style w:type="paragraph" w:customStyle="1" w:styleId="Comment">
    <w:name w:val="Comment"/>
    <w:basedOn w:val="Normal"/>
    <w:next w:val="Text"/>
    <w:link w:val="CommentChar"/>
    <w:rsid w:val="000C2846"/>
    <w:pPr>
      <w:keepLines/>
      <w:bidi w:val="0"/>
      <w:spacing w:before="120"/>
      <w:jc w:val="both"/>
    </w:pPr>
    <w:rPr>
      <w:rFonts w:eastAsia="MS Mincho" w:cs="Times New Roman"/>
      <w:i/>
      <w:color w:val="BF30B5"/>
      <w:lang w:bidi="ar-SA"/>
    </w:rPr>
  </w:style>
  <w:style w:type="character" w:customStyle="1" w:styleId="CommentChar">
    <w:name w:val="Comment Char"/>
    <w:link w:val="Comment"/>
    <w:rsid w:val="000C2846"/>
    <w:rPr>
      <w:rFonts w:eastAsia="MS Mincho"/>
      <w:i/>
      <w:color w:val="BF30B5"/>
      <w:sz w:val="24"/>
      <w:szCs w:val="24"/>
      <w:lang w:bidi="ar-SA"/>
    </w:rPr>
  </w:style>
  <w:style w:type="paragraph" w:customStyle="1" w:styleId="PLRHeading2">
    <w:name w:val="PLR_Heading 2"/>
    <w:basedOn w:val="Normal"/>
    <w:next w:val="Normal"/>
    <w:rsid w:val="00A348B0"/>
    <w:pPr>
      <w:tabs>
        <w:tab w:val="left" w:pos="648"/>
      </w:tabs>
      <w:bidi w:val="0"/>
      <w:spacing w:before="60"/>
    </w:pPr>
    <w:rPr>
      <w:rFonts w:ascii="Times New Roman Bold" w:hAnsi="Times New Roman Bold" w:cs="Times New Roman"/>
      <w:b/>
      <w:sz w:val="20"/>
      <w:szCs w:val="20"/>
      <w:lang w:eastAsia="en-US" w:bidi="ar-SA"/>
    </w:rPr>
  </w:style>
  <w:style w:type="paragraph" w:customStyle="1" w:styleId="PLRBodyTextIndented">
    <w:name w:val="PLR_Body Text Indented"/>
    <w:link w:val="PLRBodyTextIndentedCharChar"/>
    <w:rsid w:val="00A348B0"/>
    <w:pPr>
      <w:ind w:firstLine="648"/>
    </w:pPr>
    <w:rPr>
      <w:lang w:bidi="ar-SA"/>
    </w:rPr>
  </w:style>
  <w:style w:type="character" w:customStyle="1" w:styleId="PLRBodyTextIndentedCharChar">
    <w:name w:val="PLR_Body Text Indented Char Char"/>
    <w:basedOn w:val="DefaultParagraphFont"/>
    <w:link w:val="PLRBodyTextIndented"/>
    <w:rsid w:val="00A348B0"/>
    <w:rPr>
      <w:lang w:val="en-US" w:eastAsia="en-US" w:bidi="ar-SA"/>
    </w:rPr>
  </w:style>
  <w:style w:type="paragraph" w:customStyle="1" w:styleId="PLRHeading1">
    <w:name w:val="PLR_Heading 1"/>
    <w:rsid w:val="0039091A"/>
    <w:pPr>
      <w:tabs>
        <w:tab w:val="left" w:pos="648"/>
      </w:tabs>
      <w:spacing w:before="150"/>
    </w:pPr>
    <w:rPr>
      <w:rFonts w:ascii="Times New Roman Bold" w:hAnsi="Times New Roman Bold"/>
      <w:b/>
      <w:lang w:bidi="ar-SA"/>
    </w:rPr>
  </w:style>
  <w:style w:type="paragraph" w:customStyle="1" w:styleId="para1">
    <w:name w:val="para1"/>
    <w:basedOn w:val="Normal"/>
    <w:rsid w:val="0092452F"/>
    <w:pPr>
      <w:autoSpaceDE w:val="0"/>
      <w:autoSpaceDN w:val="0"/>
      <w:ind w:right="720" w:hanging="720"/>
      <w:jc w:val="both"/>
    </w:pPr>
    <w:rPr>
      <w:rFonts w:cs="Times New Roman"/>
      <w:b/>
      <w:bCs/>
      <w:sz w:val="26"/>
      <w:lang w:val="en-GB" w:eastAsia="en-US"/>
    </w:rPr>
  </w:style>
  <w:style w:type="paragraph" w:customStyle="1" w:styleId="Normal1">
    <w:name w:val="Normal1"/>
    <w:basedOn w:val="Normal"/>
    <w:rsid w:val="00E76DD7"/>
    <w:pPr>
      <w:jc w:val="both"/>
    </w:pPr>
    <w:rPr>
      <w:rFonts w:cs="Miriam"/>
      <w:sz w:val="26"/>
      <w:szCs w:val="26"/>
    </w:rPr>
  </w:style>
  <w:style w:type="paragraph" w:customStyle="1" w:styleId="Style1">
    <w:name w:val="Style1"/>
    <w:basedOn w:val="Normal"/>
    <w:rsid w:val="006E64A9"/>
    <w:pPr>
      <w:autoSpaceDE w:val="0"/>
      <w:autoSpaceDN w:val="0"/>
      <w:bidi w:val="0"/>
    </w:pPr>
    <w:rPr>
      <w:rFonts w:ascii="Univers (W1)" w:hAnsi="Univers (W1)" w:cs="Times New Roman"/>
      <w:sz w:val="22"/>
      <w:szCs w:val="2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4A9"/>
    <w:rPr>
      <w:rFonts w:ascii="Calibri" w:eastAsia="Times New Roman" w:hAnsi="Calibri" w:cs="Arial"/>
      <w:b/>
      <w:bCs/>
      <w:sz w:val="22"/>
      <w:szCs w:val="22"/>
      <w:lang w:eastAsia="he-IL"/>
    </w:rPr>
  </w:style>
  <w:style w:type="paragraph" w:customStyle="1" w:styleId="mdTblEntryL">
    <w:name w:val="md_Tbl Entry/L"/>
    <w:basedOn w:val="Normal"/>
    <w:rsid w:val="00E51847"/>
    <w:pPr>
      <w:keepNext/>
      <w:keepLines/>
      <w:bidi w:val="0"/>
      <w:spacing w:line="259" w:lineRule="atLeast"/>
    </w:pPr>
    <w:rPr>
      <w:rFonts w:cs="Times New Roman"/>
      <w:sz w:val="20"/>
      <w:szCs w:val="20"/>
      <w:lang w:eastAsia="en-US" w:bidi="ar-SA"/>
    </w:rPr>
  </w:style>
  <w:style w:type="paragraph" w:customStyle="1" w:styleId="TblFootnote">
    <w:name w:val="Tbl Footnote"/>
    <w:basedOn w:val="Normal"/>
    <w:next w:val="Normal"/>
    <w:rsid w:val="00A30E90"/>
    <w:pPr>
      <w:keepNext/>
      <w:keepLines/>
      <w:tabs>
        <w:tab w:val="left" w:pos="259"/>
      </w:tabs>
      <w:overflowPunct w:val="0"/>
      <w:autoSpaceDE w:val="0"/>
      <w:autoSpaceDN w:val="0"/>
      <w:bidi w:val="0"/>
      <w:adjustRightInd w:val="0"/>
      <w:spacing w:line="259" w:lineRule="atLeast"/>
      <w:ind w:left="259" w:hanging="259"/>
      <w:textAlignment w:val="baseline"/>
    </w:pPr>
    <w:rPr>
      <w:rFonts w:cs="Times New Roman"/>
      <w:sz w:val="20"/>
      <w:szCs w:val="20"/>
      <w:lang w:eastAsia="en-US" w:bidi="ar-SA"/>
    </w:rPr>
  </w:style>
  <w:style w:type="character" w:styleId="CommentReference">
    <w:name w:val="annotation reference"/>
    <w:basedOn w:val="DefaultParagraphFont"/>
    <w:rsid w:val="00B17DA9"/>
    <w:rPr>
      <w:sz w:val="16"/>
      <w:szCs w:val="16"/>
    </w:rPr>
  </w:style>
  <w:style w:type="paragraph" w:customStyle="1" w:styleId="mdTblEntry">
    <w:name w:val="md_Tbl Entry"/>
    <w:basedOn w:val="Normal"/>
    <w:rsid w:val="000A5CBB"/>
    <w:pPr>
      <w:keepNext/>
      <w:keepLines/>
      <w:overflowPunct w:val="0"/>
      <w:autoSpaceDE w:val="0"/>
      <w:autoSpaceDN w:val="0"/>
      <w:bidi w:val="0"/>
      <w:adjustRightInd w:val="0"/>
      <w:spacing w:line="259" w:lineRule="atLeast"/>
      <w:textAlignment w:val="baseline"/>
    </w:pPr>
    <w:rPr>
      <w:rFonts w:cs="Times New Roman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utoNumber xmlns="43f5c83f-d7ad-4276-a107-8019a824ecd5">165360816</AutoNumber>
    <REQUESTNUMBER xmlns="43f5c83f-d7ad-4276-a107-8019a824ecd5">91781,91580,92160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81401,81401,81401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2,2,2</REQUESTTYPE>
    <UCOMMENTS xmlns="43f5c83f-d7ad-4276-a107-8019a824ecd5">החמרות בעלון לרופא</UCOMMENTS>
    <OWNER xmlns="43f5c83f-d7ad-4276-a107-8019a824ecd5">643,643,643</OWNER>
    <ISPUBLIC xmlns="43f5c83f-d7ad-4276-a107-8019a824ecd5">1</ISPUBLIC>
    <SDHebDate xmlns="43f5c83f-d7ad-4276-a107-8019a824ecd5">כ"ה באייר, התשע"ג</SDHebDate>
    <SDOriginalID xmlns="43f5c83f-d7ad-4276-a107-8019a824ecd5" xsi:nil="true"/>
    <SDSignersLogins xmlns="43f5c83f-d7ad-4276-a107-8019a824ecd5" xsi:nil="true"/>
    <DOCUMENTTYPE xmlns="43f5c83f-d7ad-4276-a107-8019a824ecd5">70</DOCUMENTTYPE>
    <LANGUAGE xmlns="43f5c83f-d7ad-4276-a107-8019a824ecd5">_</LANGUAGE>
    <FILEEXT xmlns="43f5c83f-d7ad-4276-a107-8019a824ecd5">docx</FILEEXT>
    <SAPNAME xmlns="43f5c83f-d7ad-4276-a107-8019a824ecd5">291</SAPNAME>
    <SDDocumentSource xmlns="43f5c83f-d7ad-4276-a107-8019a824ecd5" xsi:nil="true"/>
    <SDImportance xmlns="43f5c83f-d7ad-4276-a107-8019a824ecd5" xsi:nil="true"/>
    <REGISTRATIONNUMBER xmlns="43f5c83f-d7ad-4276-a107-8019a824ecd5">3104900,3104901,3172100</REGISTRATIONNUMBER>
    <SDCategories xmlns="43f5c83f-d7ad-4276-a107-8019a824ecd5" xsi:nil="true"/>
    <SDDocDate xmlns="43f5c83f-d7ad-4276-a107-8019a824ecd5">2013-05-05T05:00:01+00:00</SDDocDate>
    <DRAGOBJID xmlns="43f5c83f-d7ad-4276-a107-8019a824ecd5">3104900,3104901,3172100</DRAGOBJID>
    <mossuploaddate xmlns="43f5c83f-d7ad-4276-a107-8019a824ecd5">2013-05-12 11:35:48</mossuploaddate>
    <SDExternalEntityConnected xmlns="43f5c83f-d7ad-4276-a107-8019a824ecd5" xsi:nil="true"/>
  </documentManagement>
</p:properties>
</file>

<file path=customXml/itemProps1.xml><?xml version="1.0" encoding="utf-8"?>
<ds:datastoreItem xmlns:ds="http://schemas.openxmlformats.org/officeDocument/2006/customXml" ds:itemID="{6A2D6FCE-7779-4E70-A85E-C67B35E89FB0}"/>
</file>

<file path=customXml/itemProps2.xml><?xml version="1.0" encoding="utf-8"?>
<ds:datastoreItem xmlns:ds="http://schemas.openxmlformats.org/officeDocument/2006/customXml" ds:itemID="{6FEB0FAE-A932-4F12-AD90-3C4CB1FDC33F}"/>
</file>

<file path=customXml/itemProps3.xml><?xml version="1.0" encoding="utf-8"?>
<ds:datastoreItem xmlns:ds="http://schemas.openxmlformats.org/officeDocument/2006/customXml" ds:itemID="{41D154D3-3BE6-495F-B32E-2F3BE80DBC42}"/>
</file>

<file path=customXml/itemProps4.xml><?xml version="1.0" encoding="utf-8"?>
<ds:datastoreItem xmlns:ds="http://schemas.openxmlformats.org/officeDocument/2006/customXml" ds:itemID="{A38D96EB-CBE4-4029-BAD7-2B3402D599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1211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הודעה על החמרה  ( מידע בטיחות)  בעלון לצרכן </vt:lpstr>
      <vt:lpstr>הודעה על החמרה  ( מידע בטיחות)  בעלון לצרכן </vt:lpstr>
    </vt:vector>
  </TitlesOfParts>
  <Company>Ministry of Health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Alimta_100_500_worsenings</dc:title>
  <dc:creator>g</dc:creator>
  <cp:lastModifiedBy>victoriya.finkel</cp:lastModifiedBy>
  <cp:revision>2</cp:revision>
  <cp:lastPrinted>2012-06-06T10:47:00Z</cp:lastPrinted>
  <dcterms:created xsi:type="dcterms:W3CDTF">2013-05-12T08:29:00Z</dcterms:created>
  <dcterms:modified xsi:type="dcterms:W3CDTF">2013-05-12T08:29:00Z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1</vt:lpwstr>
  </property>
  <property fmtid="{D5CDD505-2E9C-101B-9397-08002B2CF9AE}" pid="4" name="DOCM_CREATION_DATE">
    <vt:lpwstr>null</vt:lpwstr>
  </property>
</Properties>
</file>