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52" w:rsidRPr="00151352" w:rsidRDefault="00151352" w:rsidP="00151352">
      <w:pPr>
        <w:pStyle w:val="Heading1"/>
        <w:ind w:left="-285" w:right="-142" w:firstLine="285"/>
        <w:rPr>
          <w:rFonts w:cs="Times New Roman"/>
          <w:color w:val="C0C0C0"/>
          <w:sz w:val="22"/>
          <w:szCs w:val="22"/>
          <w:u w:val="none"/>
          <w:shd w:val="clear" w:color="auto" w:fill="000000"/>
          <w:rtl/>
        </w:rPr>
      </w:pPr>
      <w:r w:rsidRPr="00151352">
        <w:rPr>
          <w:rFonts w:cs="Times New Roman"/>
          <w:color w:val="C0C0C0"/>
          <w:sz w:val="22"/>
          <w:szCs w:val="22"/>
          <w:u w:val="none"/>
          <w:shd w:val="clear" w:color="auto" w:fill="000000"/>
          <w:rtl/>
        </w:rPr>
        <w:t xml:space="preserve">הודעה על החמרה  ( מידע בטיחות)  </w:t>
      </w:r>
    </w:p>
    <w:p w:rsidR="00151352" w:rsidRPr="000E5AEB" w:rsidRDefault="00151352" w:rsidP="00151352">
      <w:pPr>
        <w:rPr>
          <w:rFonts w:cs="Times New Roman"/>
          <w:b/>
          <w:bCs/>
          <w:sz w:val="22"/>
          <w:szCs w:val="22"/>
          <w:rtl/>
        </w:rPr>
      </w:pPr>
    </w:p>
    <w:p w:rsidR="00151352" w:rsidRPr="000E5AEB" w:rsidRDefault="00151352" w:rsidP="0013376D">
      <w:pPr>
        <w:spacing w:line="360" w:lineRule="auto"/>
        <w:rPr>
          <w:rFonts w:cs="Times New Roman"/>
          <w:b/>
          <w:bCs/>
          <w:sz w:val="22"/>
          <w:szCs w:val="22"/>
          <w:rtl/>
        </w:rPr>
      </w:pPr>
      <w:r w:rsidRPr="000E5AEB">
        <w:rPr>
          <w:rFonts w:cs="Times New Roman"/>
          <w:b/>
          <w:bCs/>
          <w:sz w:val="22"/>
          <w:szCs w:val="22"/>
          <w:rtl/>
        </w:rPr>
        <w:t>תאריך:</w:t>
      </w:r>
      <w:r w:rsidRPr="000E5AEB">
        <w:rPr>
          <w:rFonts w:cs="Times New Roman"/>
          <w:b/>
          <w:bCs/>
          <w:sz w:val="22"/>
          <w:szCs w:val="22"/>
          <w:rtl/>
        </w:rPr>
        <w:tab/>
      </w:r>
      <w:r w:rsidR="0013376D">
        <w:rPr>
          <w:rFonts w:cs="Times New Roman" w:hint="cs"/>
          <w:b/>
          <w:bCs/>
          <w:sz w:val="22"/>
          <w:szCs w:val="22"/>
          <w:rtl/>
        </w:rPr>
        <w:t>13</w:t>
      </w:r>
      <w:r w:rsidR="008A3DB4">
        <w:rPr>
          <w:rFonts w:cs="Times New Roman" w:hint="cs"/>
          <w:b/>
          <w:bCs/>
          <w:sz w:val="22"/>
          <w:szCs w:val="22"/>
          <w:rtl/>
        </w:rPr>
        <w:t>.1</w:t>
      </w:r>
      <w:r w:rsidR="0013376D">
        <w:rPr>
          <w:rFonts w:cs="Times New Roman" w:hint="cs"/>
          <w:b/>
          <w:bCs/>
          <w:sz w:val="22"/>
          <w:szCs w:val="22"/>
          <w:rtl/>
        </w:rPr>
        <w:t>2</w:t>
      </w:r>
      <w:r w:rsidR="008A3DB4">
        <w:rPr>
          <w:rFonts w:cs="Times New Roman" w:hint="cs"/>
          <w:b/>
          <w:bCs/>
          <w:sz w:val="22"/>
          <w:szCs w:val="22"/>
          <w:rtl/>
        </w:rPr>
        <w:t>.12</w:t>
      </w:r>
    </w:p>
    <w:p w:rsidR="00151352" w:rsidRPr="000E5AEB" w:rsidRDefault="00151352" w:rsidP="00A93512">
      <w:pPr>
        <w:spacing w:line="360" w:lineRule="auto"/>
        <w:rPr>
          <w:rFonts w:cs="Times New Roman"/>
          <w:b/>
          <w:bCs/>
          <w:sz w:val="22"/>
          <w:szCs w:val="22"/>
          <w:lang w:val="es-AR"/>
        </w:rPr>
      </w:pPr>
      <w:r w:rsidRPr="000E5AEB">
        <w:rPr>
          <w:rFonts w:cs="Times New Roman"/>
          <w:b/>
          <w:bCs/>
          <w:sz w:val="22"/>
          <w:szCs w:val="22"/>
          <w:rtl/>
        </w:rPr>
        <w:t>שם תכשיר באנגלית:</w:t>
      </w:r>
      <w:r w:rsidR="00A93512">
        <w:rPr>
          <w:rFonts w:cs="Times New Roman"/>
          <w:b/>
          <w:bCs/>
          <w:sz w:val="22"/>
          <w:szCs w:val="22"/>
        </w:rPr>
        <w:t xml:space="preserve"> TRISENOX 1 mg/ml </w:t>
      </w:r>
      <w:r w:rsidRPr="000E5AEB">
        <w:rPr>
          <w:rFonts w:cs="Times New Roman"/>
          <w:b/>
          <w:bCs/>
          <w:sz w:val="22"/>
          <w:szCs w:val="22"/>
          <w:rtl/>
        </w:rPr>
        <w:tab/>
      </w:r>
      <w:r w:rsidRPr="000E5AEB">
        <w:rPr>
          <w:rFonts w:cs="Times New Roman"/>
          <w:b/>
          <w:bCs/>
          <w:sz w:val="22"/>
          <w:szCs w:val="22"/>
          <w:lang w:val="es-AR"/>
        </w:rPr>
        <w:t xml:space="preserve"> </w:t>
      </w:r>
    </w:p>
    <w:p w:rsidR="00151352" w:rsidRPr="00A93512" w:rsidRDefault="00151352" w:rsidP="00A93512">
      <w:pPr>
        <w:spacing w:line="360" w:lineRule="auto"/>
        <w:rPr>
          <w:rFonts w:cstheme="minorBidi"/>
          <w:b/>
          <w:bCs/>
          <w:sz w:val="22"/>
          <w:szCs w:val="22"/>
          <w:rtl/>
        </w:rPr>
      </w:pPr>
      <w:r w:rsidRPr="000E5AEB">
        <w:rPr>
          <w:rFonts w:cs="Times New Roman"/>
          <w:b/>
          <w:bCs/>
          <w:sz w:val="22"/>
          <w:szCs w:val="22"/>
          <w:rtl/>
        </w:rPr>
        <w:t>מספר רישום:</w:t>
      </w:r>
      <w:r w:rsidRPr="000E5AEB">
        <w:rPr>
          <w:rFonts w:cs="Times New Roman"/>
          <w:b/>
          <w:bCs/>
          <w:sz w:val="22"/>
          <w:szCs w:val="22"/>
          <w:rtl/>
        </w:rPr>
        <w:tab/>
      </w:r>
      <w:r w:rsidR="004B541A" w:rsidRPr="004B541A">
        <w:rPr>
          <w:rFonts w:cs="Times New Roman" w:hint="cs"/>
          <w:b/>
          <w:bCs/>
          <w:sz w:val="22"/>
          <w:szCs w:val="22"/>
          <w:rtl/>
        </w:rPr>
        <w:t>140-10-31787-00</w:t>
      </w:r>
    </w:p>
    <w:p w:rsidR="00151352" w:rsidRPr="000E5AEB" w:rsidRDefault="00151352" w:rsidP="00151352">
      <w:pPr>
        <w:spacing w:line="360" w:lineRule="auto"/>
        <w:rPr>
          <w:rFonts w:cs="Times New Roman"/>
          <w:b/>
          <w:bCs/>
          <w:sz w:val="22"/>
          <w:szCs w:val="22"/>
          <w:rtl/>
        </w:rPr>
      </w:pPr>
      <w:r w:rsidRPr="000E5AEB">
        <w:rPr>
          <w:rFonts w:cs="Times New Roman"/>
          <w:b/>
          <w:bCs/>
          <w:sz w:val="22"/>
          <w:szCs w:val="22"/>
          <w:rtl/>
        </w:rPr>
        <w:t>שם בעל הרישום: מדיסון פארמה בע"מ</w:t>
      </w:r>
    </w:p>
    <w:p w:rsidR="00151352" w:rsidRPr="000E5AEB" w:rsidRDefault="00151352" w:rsidP="00151352">
      <w:pPr>
        <w:spacing w:line="360" w:lineRule="auto"/>
        <w:ind w:left="-694" w:firstLine="694"/>
        <w:rPr>
          <w:rFonts w:cs="Times New Roman"/>
          <w:b/>
          <w:bCs/>
          <w:sz w:val="22"/>
          <w:szCs w:val="22"/>
          <w:u w:val="single"/>
          <w:rtl/>
        </w:rPr>
      </w:pPr>
      <w:r w:rsidRPr="00115FB4">
        <w:rPr>
          <w:rFonts w:cs="Times New Roman"/>
          <w:sz w:val="22"/>
          <w:szCs w:val="22"/>
          <w:rtl/>
        </w:rPr>
        <w:t xml:space="preserve">השינויים </w:t>
      </w:r>
      <w:r w:rsidRPr="000E5AEB">
        <w:rPr>
          <w:rFonts w:cs="Times New Roman"/>
          <w:sz w:val="22"/>
          <w:szCs w:val="22"/>
          <w:rtl/>
        </w:rPr>
        <w:t xml:space="preserve">בעלון </w:t>
      </w:r>
      <w:r w:rsidRPr="000E5AEB">
        <w:rPr>
          <w:rFonts w:cs="Times New Roman"/>
          <w:sz w:val="22"/>
          <w:szCs w:val="22"/>
          <w:highlight w:val="yellow"/>
          <w:rtl/>
        </w:rPr>
        <w:t>מסומנים על רקע צהוב</w:t>
      </w:r>
    </w:p>
    <w:p w:rsidR="00151352" w:rsidRPr="00151352" w:rsidRDefault="00151352" w:rsidP="00151352">
      <w:pPr>
        <w:spacing w:line="360" w:lineRule="auto"/>
        <w:ind w:left="-694" w:firstLine="551"/>
        <w:rPr>
          <w:rFonts w:cs="Times New Roman"/>
          <w:color w:val="C0C0C0"/>
          <w:sz w:val="22"/>
          <w:szCs w:val="22"/>
          <w:shd w:val="clear" w:color="auto" w:fill="000000"/>
          <w:rtl/>
        </w:rPr>
      </w:pPr>
    </w:p>
    <w:p w:rsidR="00151352" w:rsidRPr="000E5AEB" w:rsidRDefault="00151352" w:rsidP="00151352">
      <w:pPr>
        <w:spacing w:line="360" w:lineRule="auto"/>
        <w:ind w:left="-694" w:firstLine="551"/>
        <w:rPr>
          <w:rFonts w:cs="Times New Roman"/>
          <w:b/>
          <w:bCs/>
          <w:sz w:val="22"/>
          <w:szCs w:val="22"/>
        </w:rPr>
      </w:pPr>
      <w:r w:rsidRPr="00151352">
        <w:rPr>
          <w:rFonts w:cs="Times New Roman"/>
          <w:color w:val="C0C0C0"/>
          <w:sz w:val="22"/>
          <w:szCs w:val="22"/>
          <w:shd w:val="clear" w:color="auto" w:fill="000000"/>
          <w:rtl/>
        </w:rPr>
        <w:t>בעלון לרופא</w:t>
      </w:r>
    </w:p>
    <w:p w:rsidR="00151352" w:rsidRPr="000E5AEB" w:rsidRDefault="00151352" w:rsidP="00151352">
      <w:pPr>
        <w:spacing w:line="360" w:lineRule="auto"/>
        <w:ind w:left="-694" w:firstLine="694"/>
        <w:rPr>
          <w:rFonts w:cs="Times New Roman"/>
          <w:b/>
          <w:bCs/>
          <w:sz w:val="22"/>
          <w:szCs w:val="22"/>
          <w:u w:val="single"/>
          <w:rtl/>
        </w:rPr>
      </w:pP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96"/>
        <w:gridCol w:w="4252"/>
      </w:tblGrid>
      <w:tr w:rsidR="00151352" w:rsidRPr="000E5AEB" w:rsidTr="00EA6FC5">
        <w:trPr>
          <w:cantSplit/>
          <w:jc w:val="center"/>
        </w:trPr>
        <w:tc>
          <w:tcPr>
            <w:tcW w:w="10347" w:type="dxa"/>
            <w:gridSpan w:val="3"/>
            <w:tcBorders>
              <w:bottom w:val="single" w:sz="4" w:space="0" w:color="auto"/>
              <w:right w:val="single" w:sz="4" w:space="0" w:color="auto"/>
            </w:tcBorders>
            <w:shd w:val="pct12" w:color="auto" w:fill="FFFFFF"/>
          </w:tcPr>
          <w:p w:rsidR="00151352" w:rsidRPr="000E5AEB" w:rsidRDefault="00151352" w:rsidP="00EA6FC5">
            <w:pPr>
              <w:jc w:val="center"/>
              <w:rPr>
                <w:rFonts w:cs="Times New Roman"/>
                <w:b/>
                <w:bCs/>
                <w:rtl/>
              </w:rPr>
            </w:pPr>
          </w:p>
          <w:p w:rsidR="00151352" w:rsidRPr="000E5AEB" w:rsidRDefault="00151352" w:rsidP="00EA6FC5">
            <w:pPr>
              <w:jc w:val="center"/>
              <w:rPr>
                <w:rFonts w:cs="Times New Roman"/>
                <w:b/>
                <w:bCs/>
                <w:rtl/>
              </w:rPr>
            </w:pPr>
            <w:r w:rsidRPr="000E5AEB">
              <w:rPr>
                <w:rFonts w:cs="Times New Roman"/>
                <w:b/>
                <w:bCs/>
                <w:sz w:val="22"/>
                <w:szCs w:val="22"/>
                <w:rtl/>
              </w:rPr>
              <w:t>פרטים על השינוי/ים המבוקש/ים</w:t>
            </w:r>
          </w:p>
        </w:tc>
      </w:tr>
      <w:tr w:rsidR="00151352" w:rsidRPr="000E5AEB" w:rsidTr="00EA6FC5">
        <w:trPr>
          <w:jc w:val="center"/>
        </w:trPr>
        <w:tc>
          <w:tcPr>
            <w:tcW w:w="1799" w:type="dxa"/>
            <w:tcBorders>
              <w:top w:val="single" w:sz="4" w:space="0" w:color="auto"/>
              <w:bottom w:val="single" w:sz="4" w:space="0" w:color="auto"/>
            </w:tcBorders>
          </w:tcPr>
          <w:p w:rsidR="00151352" w:rsidRPr="000E5AEB" w:rsidRDefault="00151352" w:rsidP="00EA6FC5">
            <w:pPr>
              <w:jc w:val="center"/>
              <w:rPr>
                <w:rFonts w:cs="Times New Roman"/>
                <w:b/>
                <w:bCs/>
                <w:rtl/>
              </w:rPr>
            </w:pPr>
          </w:p>
          <w:p w:rsidR="00151352" w:rsidRPr="000E5AEB" w:rsidRDefault="00151352" w:rsidP="00EA6FC5">
            <w:pPr>
              <w:jc w:val="center"/>
              <w:rPr>
                <w:rFonts w:cs="Times New Roman"/>
                <w:b/>
                <w:bCs/>
                <w:rtl/>
              </w:rPr>
            </w:pPr>
            <w:r w:rsidRPr="000E5AEB">
              <w:rPr>
                <w:rFonts w:cs="Times New Roman"/>
                <w:b/>
                <w:bCs/>
                <w:sz w:val="22"/>
                <w:szCs w:val="22"/>
                <w:rtl/>
              </w:rPr>
              <w:t>פרק בעלון</w:t>
            </w:r>
          </w:p>
          <w:p w:rsidR="00151352" w:rsidRPr="000E5AEB" w:rsidRDefault="00151352" w:rsidP="00EA6FC5">
            <w:pPr>
              <w:jc w:val="center"/>
              <w:rPr>
                <w:rFonts w:cs="Times New Roman"/>
                <w:b/>
                <w:bCs/>
                <w:rtl/>
              </w:rPr>
            </w:pPr>
          </w:p>
        </w:tc>
        <w:tc>
          <w:tcPr>
            <w:tcW w:w="4296" w:type="dxa"/>
            <w:tcBorders>
              <w:top w:val="single" w:sz="4" w:space="0" w:color="auto"/>
              <w:bottom w:val="single" w:sz="4" w:space="0" w:color="auto"/>
            </w:tcBorders>
          </w:tcPr>
          <w:p w:rsidR="00151352" w:rsidRPr="000E5AEB" w:rsidRDefault="00151352" w:rsidP="00EA6FC5">
            <w:pPr>
              <w:jc w:val="center"/>
              <w:rPr>
                <w:rFonts w:cs="Times New Roman"/>
                <w:b/>
                <w:bCs/>
                <w:rtl/>
              </w:rPr>
            </w:pPr>
          </w:p>
          <w:p w:rsidR="00151352" w:rsidRPr="000E5AEB" w:rsidRDefault="00151352" w:rsidP="00EA6FC5">
            <w:pPr>
              <w:jc w:val="center"/>
              <w:rPr>
                <w:rFonts w:cs="Times New Roman"/>
                <w:b/>
                <w:bCs/>
                <w:rtl/>
              </w:rPr>
            </w:pPr>
            <w:r w:rsidRPr="000E5AEB">
              <w:rPr>
                <w:rFonts w:cs="Times New Roman"/>
                <w:b/>
                <w:bCs/>
                <w:sz w:val="22"/>
                <w:szCs w:val="22"/>
                <w:rtl/>
              </w:rPr>
              <w:t>טקסט נוכחי</w:t>
            </w:r>
          </w:p>
        </w:tc>
        <w:tc>
          <w:tcPr>
            <w:tcW w:w="4252" w:type="dxa"/>
            <w:tcBorders>
              <w:top w:val="single" w:sz="4" w:space="0" w:color="auto"/>
              <w:bottom w:val="single" w:sz="4" w:space="0" w:color="auto"/>
              <w:right w:val="single" w:sz="4" w:space="0" w:color="auto"/>
            </w:tcBorders>
          </w:tcPr>
          <w:p w:rsidR="00151352" w:rsidRPr="000E5AEB" w:rsidRDefault="00151352" w:rsidP="00EA6FC5">
            <w:pPr>
              <w:jc w:val="center"/>
              <w:rPr>
                <w:rFonts w:cs="Times New Roman"/>
                <w:b/>
                <w:bCs/>
                <w:rtl/>
              </w:rPr>
            </w:pPr>
          </w:p>
          <w:p w:rsidR="00151352" w:rsidRPr="000E5AEB" w:rsidRDefault="00151352" w:rsidP="00EA6FC5">
            <w:pPr>
              <w:jc w:val="center"/>
              <w:rPr>
                <w:rFonts w:cs="Times New Roman"/>
                <w:b/>
                <w:bCs/>
                <w:rtl/>
              </w:rPr>
            </w:pPr>
            <w:r w:rsidRPr="000E5AEB">
              <w:rPr>
                <w:rFonts w:cs="Times New Roman"/>
                <w:b/>
                <w:bCs/>
                <w:sz w:val="22"/>
                <w:szCs w:val="22"/>
                <w:rtl/>
              </w:rPr>
              <w:t>טקסט חדש</w:t>
            </w:r>
          </w:p>
        </w:tc>
      </w:tr>
      <w:tr w:rsidR="00151352" w:rsidRPr="000E5AEB" w:rsidTr="00EA6FC5">
        <w:trPr>
          <w:jc w:val="center"/>
        </w:trPr>
        <w:tc>
          <w:tcPr>
            <w:tcW w:w="1799" w:type="dxa"/>
            <w:tcBorders>
              <w:top w:val="single" w:sz="4" w:space="0" w:color="auto"/>
              <w:bottom w:val="single" w:sz="4" w:space="0" w:color="auto"/>
            </w:tcBorders>
          </w:tcPr>
          <w:p w:rsidR="00151352" w:rsidRPr="000E5AEB" w:rsidRDefault="00151352" w:rsidP="00EA6FC5">
            <w:pPr>
              <w:bidi w:val="0"/>
              <w:outlineLvl w:val="0"/>
              <w:rPr>
                <w:rFonts w:cs="Times New Roman"/>
                <w:b/>
                <w:noProof/>
              </w:rPr>
            </w:pPr>
            <w:r w:rsidRPr="000E5AEB">
              <w:rPr>
                <w:rFonts w:cs="Times New Roman"/>
                <w:b/>
                <w:noProof/>
                <w:sz w:val="22"/>
                <w:szCs w:val="22"/>
              </w:rPr>
              <w:t>4.</w:t>
            </w:r>
            <w:r w:rsidRPr="00AE020E">
              <w:rPr>
                <w:rFonts w:cs="Times New Roman" w:hint="cs"/>
                <w:bCs/>
                <w:noProof/>
                <w:sz w:val="22"/>
                <w:szCs w:val="22"/>
                <w:rtl/>
              </w:rPr>
              <w:t>2</w:t>
            </w:r>
            <w:r w:rsidRPr="000E5AEB">
              <w:rPr>
                <w:rFonts w:cs="Times New Roman"/>
                <w:b/>
                <w:noProof/>
                <w:sz w:val="22"/>
                <w:szCs w:val="22"/>
              </w:rPr>
              <w:t xml:space="preserve"> Posology and method of administration</w:t>
            </w:r>
          </w:p>
          <w:p w:rsidR="00151352" w:rsidRPr="000E5AEB" w:rsidRDefault="00151352" w:rsidP="00EA6FC5">
            <w:pPr>
              <w:jc w:val="center"/>
              <w:rPr>
                <w:rFonts w:cs="Times New Roman"/>
                <w:b/>
                <w:bCs/>
                <w:rtl/>
              </w:rPr>
            </w:pPr>
          </w:p>
        </w:tc>
        <w:tc>
          <w:tcPr>
            <w:tcW w:w="4296" w:type="dxa"/>
            <w:tcBorders>
              <w:top w:val="single" w:sz="4" w:space="0" w:color="auto"/>
              <w:bottom w:val="single" w:sz="4" w:space="0" w:color="auto"/>
            </w:tcBorders>
          </w:tcPr>
          <w:p w:rsidR="00151352" w:rsidRDefault="00115FB4" w:rsidP="00EA6FC5">
            <w:pPr>
              <w:bidi w:val="0"/>
              <w:rPr>
                <w:rFonts w:cs="Times New Roman"/>
                <w:szCs w:val="20"/>
                <w:lang w:eastAsia="en-US"/>
              </w:rPr>
            </w:pPr>
            <w:r w:rsidRPr="00115FB4">
              <w:rPr>
                <w:rFonts w:cs="Times New Roman"/>
                <w:sz w:val="22"/>
                <w:szCs w:val="20"/>
                <w:lang w:val="en-GB" w:eastAsia="en-US" w:bidi="ar-SA"/>
              </w:rPr>
              <w:t>The same dose is recommended for children, adults, and elderly.</w:t>
            </w:r>
          </w:p>
          <w:p w:rsidR="00115FB4" w:rsidRDefault="00115FB4" w:rsidP="00115FB4">
            <w:pPr>
              <w:bidi w:val="0"/>
              <w:rPr>
                <w:rFonts w:cs="Times New Roman"/>
                <w:szCs w:val="20"/>
                <w:lang w:eastAsia="en-US"/>
              </w:rPr>
            </w:pPr>
          </w:p>
          <w:p w:rsidR="00115FB4" w:rsidRPr="00115FB4" w:rsidRDefault="00115FB4" w:rsidP="00115FB4">
            <w:pPr>
              <w:bidi w:val="0"/>
              <w:rPr>
                <w:rFonts w:cs="Times New Roman"/>
                <w:szCs w:val="20"/>
                <w:lang w:eastAsia="en-US"/>
              </w:rPr>
            </w:pPr>
          </w:p>
          <w:p w:rsidR="00115FB4" w:rsidRPr="00115FB4" w:rsidRDefault="00115FB4" w:rsidP="00115FB4">
            <w:pPr>
              <w:autoSpaceDE w:val="0"/>
              <w:autoSpaceDN w:val="0"/>
              <w:bidi w:val="0"/>
              <w:adjustRightInd w:val="0"/>
              <w:spacing w:line="360" w:lineRule="auto"/>
              <w:rPr>
                <w:rFonts w:cs="Times New Roman"/>
                <w:szCs w:val="20"/>
                <w:lang w:val="en-GB" w:eastAsia="en-US" w:bidi="ar-SA"/>
              </w:rPr>
            </w:pPr>
            <w:r w:rsidRPr="00115FB4">
              <w:rPr>
                <w:rFonts w:cs="Times New Roman"/>
                <w:sz w:val="22"/>
                <w:szCs w:val="20"/>
                <w:lang w:val="en-GB" w:eastAsia="en-US" w:bidi="ar-SA"/>
              </w:rPr>
              <w:t>Consolidation schedule:</w:t>
            </w:r>
          </w:p>
          <w:p w:rsidR="00115FB4" w:rsidRPr="00115FB4" w:rsidRDefault="00115FB4" w:rsidP="00115FB4">
            <w:pPr>
              <w:autoSpaceDE w:val="0"/>
              <w:autoSpaceDN w:val="0"/>
              <w:bidi w:val="0"/>
              <w:adjustRightInd w:val="0"/>
              <w:spacing w:line="360" w:lineRule="auto"/>
              <w:rPr>
                <w:rFonts w:cs="Times New Roman"/>
                <w:szCs w:val="20"/>
                <w:lang w:val="en-GB" w:eastAsia="en-US" w:bidi="ar-SA"/>
              </w:rPr>
            </w:pPr>
            <w:r w:rsidRPr="00115FB4">
              <w:rPr>
                <w:rFonts w:cs="Times New Roman"/>
                <w:sz w:val="22"/>
                <w:szCs w:val="20"/>
                <w:lang w:val="en-GB" w:eastAsia="en-US" w:bidi="ar-SA"/>
              </w:rPr>
              <w:t>Consolidation treatment must begin 3 to 4 weeks after completion of induction therapy. TRISENOX is</w:t>
            </w:r>
            <w:r>
              <w:rPr>
                <w:rFonts w:cs="Times New Roman"/>
                <w:sz w:val="22"/>
                <w:szCs w:val="20"/>
                <w:lang w:val="en-GB" w:eastAsia="en-US" w:bidi="ar-SA"/>
              </w:rPr>
              <w:t xml:space="preserve"> </w:t>
            </w:r>
            <w:r w:rsidRPr="00115FB4">
              <w:rPr>
                <w:rFonts w:cs="Times New Roman"/>
                <w:sz w:val="22"/>
                <w:szCs w:val="20"/>
                <w:lang w:val="en-GB" w:eastAsia="en-US" w:bidi="ar-SA"/>
              </w:rPr>
              <w:t>to be administered intravenously at a dose of 0.15 mg/kg/day for 25 doses given 5 days per week,</w:t>
            </w:r>
            <w:r>
              <w:rPr>
                <w:rFonts w:cs="Times New Roman"/>
                <w:sz w:val="22"/>
                <w:szCs w:val="20"/>
                <w:lang w:val="en-GB" w:eastAsia="en-US" w:bidi="ar-SA"/>
              </w:rPr>
              <w:t xml:space="preserve"> </w:t>
            </w:r>
            <w:r w:rsidRPr="00115FB4">
              <w:rPr>
                <w:rFonts w:cs="Times New Roman"/>
                <w:sz w:val="22"/>
                <w:szCs w:val="20"/>
                <w:lang w:val="en-GB" w:eastAsia="en-US" w:bidi="ar-SA"/>
              </w:rPr>
              <w:t xml:space="preserve">followed by 2 days interruption, repeated for 5 weeks. </w:t>
            </w:r>
          </w:p>
          <w:p w:rsidR="00115FB4" w:rsidRPr="00115FB4" w:rsidRDefault="00115FB4" w:rsidP="00115FB4">
            <w:pPr>
              <w:autoSpaceDE w:val="0"/>
              <w:autoSpaceDN w:val="0"/>
              <w:bidi w:val="0"/>
              <w:adjustRightInd w:val="0"/>
              <w:spacing w:line="360" w:lineRule="auto"/>
              <w:rPr>
                <w:rFonts w:cs="Times New Roman"/>
                <w:szCs w:val="20"/>
                <w:lang w:val="en-GB" w:eastAsia="en-US" w:bidi="ar-SA"/>
              </w:rPr>
            </w:pPr>
            <w:r w:rsidRPr="00115FB4">
              <w:rPr>
                <w:rFonts w:cs="Times New Roman"/>
                <w:sz w:val="22"/>
                <w:szCs w:val="20"/>
                <w:lang w:val="en-GB" w:eastAsia="en-US" w:bidi="ar-SA"/>
              </w:rPr>
              <w:t xml:space="preserve">Paediatric use: The experience in children is limited. Of 7 patients </w:t>
            </w:r>
            <w:proofErr w:type="gramStart"/>
            <w:r w:rsidRPr="00115FB4">
              <w:rPr>
                <w:rFonts w:cs="Times New Roman"/>
                <w:sz w:val="22"/>
                <w:szCs w:val="20"/>
                <w:lang w:val="en-GB" w:eastAsia="en-US" w:bidi="ar-SA"/>
              </w:rPr>
              <w:t>under</w:t>
            </w:r>
            <w:proofErr w:type="gramEnd"/>
            <w:r w:rsidRPr="00115FB4">
              <w:rPr>
                <w:rFonts w:cs="Times New Roman"/>
                <w:sz w:val="22"/>
                <w:szCs w:val="20"/>
                <w:lang w:val="en-GB" w:eastAsia="en-US" w:bidi="ar-SA"/>
              </w:rPr>
              <w:t xml:space="preserve"> 18 years of age (range 5 to 16 years) treated with TRISENOX at the recommended dose of 0.15 mg/kg/day, 5 patients achieved a complete response. Safety and effectiveness in paediatric patients under 5 years of age have not been studied.</w:t>
            </w:r>
          </w:p>
          <w:p w:rsidR="00115FB4" w:rsidRPr="00115FB4" w:rsidRDefault="00115FB4" w:rsidP="00115FB4">
            <w:pPr>
              <w:bidi w:val="0"/>
              <w:rPr>
                <w:rFonts w:cs="Times New Roman"/>
                <w:szCs w:val="20"/>
                <w:rtl/>
                <w:lang w:eastAsia="en-US"/>
              </w:rPr>
            </w:pPr>
          </w:p>
          <w:p w:rsidR="00115FB4" w:rsidRPr="00115FB4" w:rsidRDefault="00115FB4" w:rsidP="00115FB4">
            <w:pPr>
              <w:bidi w:val="0"/>
              <w:rPr>
                <w:rFonts w:cs="Times New Roman"/>
                <w:szCs w:val="20"/>
                <w:lang w:eastAsia="en-US"/>
              </w:rPr>
            </w:pPr>
          </w:p>
          <w:p w:rsidR="00115FB4" w:rsidRDefault="00115FB4" w:rsidP="00115FB4">
            <w:pPr>
              <w:bidi w:val="0"/>
              <w:rPr>
                <w:rFonts w:cs="Times New Roman"/>
                <w:szCs w:val="20"/>
                <w:lang w:val="en-GB" w:eastAsia="en-US"/>
              </w:rPr>
            </w:pPr>
          </w:p>
          <w:p w:rsidR="00115FB4" w:rsidRDefault="00115FB4" w:rsidP="00115FB4">
            <w:pPr>
              <w:bidi w:val="0"/>
              <w:rPr>
                <w:rFonts w:cs="Times New Roman"/>
                <w:szCs w:val="20"/>
                <w:lang w:val="en-GB" w:eastAsia="en-US"/>
              </w:rPr>
            </w:pPr>
          </w:p>
          <w:p w:rsidR="00115FB4" w:rsidRDefault="00115FB4" w:rsidP="00115FB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C97934" w:rsidP="00C97934">
            <w:pPr>
              <w:bidi w:val="0"/>
              <w:rPr>
                <w:rFonts w:cs="Times New Roman"/>
                <w:szCs w:val="20"/>
                <w:lang w:val="en-GB" w:eastAsia="en-US"/>
              </w:rPr>
            </w:pPr>
          </w:p>
          <w:p w:rsidR="00C97934" w:rsidRDefault="00486017" w:rsidP="00C97934">
            <w:pPr>
              <w:rPr>
                <w:rFonts w:cs="Times New Roman"/>
                <w:szCs w:val="20"/>
                <w:rtl/>
                <w:lang w:val="en-GB" w:eastAsia="en-US"/>
              </w:rPr>
            </w:pPr>
            <w:r>
              <w:rPr>
                <w:rFonts w:cs="Times New Roman" w:hint="cs"/>
                <w:sz w:val="22"/>
                <w:szCs w:val="22"/>
                <w:rtl/>
              </w:rPr>
              <w:t>לא קיים.</w:t>
            </w: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Pr="00486017" w:rsidRDefault="00486017" w:rsidP="00C97934">
            <w:pPr>
              <w:rPr>
                <w:rFonts w:cs="Times New Roman"/>
                <w:rtl/>
              </w:rPr>
            </w:pPr>
            <w:r w:rsidRPr="00486017">
              <w:rPr>
                <w:rFonts w:cs="Times New Roman" w:hint="cs"/>
                <w:sz w:val="22"/>
                <w:szCs w:val="22"/>
                <w:rtl/>
              </w:rPr>
              <w:t>לא קיים במיקום זה.</w:t>
            </w: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r w:rsidRPr="00486017">
              <w:rPr>
                <w:rFonts w:cs="Times New Roman" w:hint="cs"/>
                <w:sz w:val="22"/>
                <w:szCs w:val="22"/>
                <w:rtl/>
              </w:rPr>
              <w:t>לא קיים במיקום זה.</w:t>
            </w: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Default="00486017" w:rsidP="00C97934">
            <w:pPr>
              <w:rPr>
                <w:rFonts w:cs="Times New Roman"/>
                <w:szCs w:val="20"/>
                <w:rtl/>
                <w:lang w:val="en-GB" w:eastAsia="en-US"/>
              </w:rPr>
            </w:pPr>
          </w:p>
          <w:p w:rsidR="00486017" w:rsidRPr="00560134" w:rsidRDefault="00486017" w:rsidP="00486017">
            <w:pPr>
              <w:tabs>
                <w:tab w:val="left" w:pos="567"/>
              </w:tabs>
              <w:bidi w:val="0"/>
              <w:rPr>
                <w:rFonts w:cs="Times New Roman"/>
                <w:b/>
                <w:bCs/>
                <w:szCs w:val="20"/>
                <w:lang w:val="en-GB" w:bidi="ar-SA"/>
              </w:rPr>
            </w:pPr>
            <w:r w:rsidRPr="00560134">
              <w:rPr>
                <w:rFonts w:cs="Times New Roman"/>
                <w:b/>
                <w:bCs/>
                <w:szCs w:val="20"/>
                <w:lang w:val="en-GB" w:bidi="ar-SA"/>
              </w:rPr>
              <w:t>Method of administration</w:t>
            </w:r>
          </w:p>
          <w:p w:rsidR="00486017" w:rsidRPr="00560134" w:rsidRDefault="00486017" w:rsidP="00486017">
            <w:pPr>
              <w:tabs>
                <w:tab w:val="left" w:pos="567"/>
              </w:tabs>
              <w:bidi w:val="0"/>
              <w:rPr>
                <w:rFonts w:cs="Times New Roman"/>
                <w:szCs w:val="20"/>
                <w:lang w:val="en-GB" w:bidi="ar-SA"/>
              </w:rPr>
            </w:pPr>
          </w:p>
          <w:p w:rsidR="00486017" w:rsidRPr="00560134" w:rsidRDefault="00486017" w:rsidP="00486017">
            <w:pPr>
              <w:tabs>
                <w:tab w:val="left" w:pos="567"/>
              </w:tabs>
              <w:bidi w:val="0"/>
              <w:rPr>
                <w:rFonts w:cs="Times New Roman"/>
                <w:szCs w:val="20"/>
                <w:lang w:val="en-GB" w:bidi="ar-SA"/>
              </w:rPr>
            </w:pPr>
            <w:r w:rsidRPr="00560134">
              <w:rPr>
                <w:rFonts w:cs="Times New Roman"/>
                <w:szCs w:val="20"/>
                <w:lang w:val="en-GB" w:bidi="ar-SA"/>
              </w:rPr>
              <w:t xml:space="preserve">TRISENOX must be administered intravenously over 1-2 hours. The infusion duration may be extended up to 4 hours if vasomotor reactions are observed. A central venous catheter is not required. Patients must be hospitalised at </w:t>
            </w:r>
            <w:r w:rsidRPr="00560134">
              <w:rPr>
                <w:rFonts w:cs="Times New Roman"/>
                <w:szCs w:val="20"/>
                <w:lang w:val="en-GB" w:bidi="ar-SA"/>
              </w:rPr>
              <w:lastRenderedPageBreak/>
              <w:t>the beginning of treatment due to symptoms of disease and to ensure adequate monitoring.</w:t>
            </w:r>
          </w:p>
          <w:p w:rsidR="00486017" w:rsidRPr="00486017" w:rsidRDefault="00486017" w:rsidP="00C97934">
            <w:pPr>
              <w:rPr>
                <w:rFonts w:cs="Times New Roman"/>
                <w:szCs w:val="20"/>
                <w:rtl/>
                <w:lang w:val="en-GB" w:eastAsia="en-US"/>
              </w:rPr>
            </w:pPr>
          </w:p>
        </w:tc>
        <w:tc>
          <w:tcPr>
            <w:tcW w:w="4252" w:type="dxa"/>
            <w:tcBorders>
              <w:top w:val="single" w:sz="4" w:space="0" w:color="auto"/>
              <w:bottom w:val="single" w:sz="4" w:space="0" w:color="auto"/>
              <w:right w:val="single" w:sz="4" w:space="0" w:color="auto"/>
            </w:tcBorders>
          </w:tcPr>
          <w:p w:rsidR="00151352" w:rsidRDefault="00115FB4" w:rsidP="00115FB4">
            <w:pPr>
              <w:bidi w:val="0"/>
              <w:rPr>
                <w:rFonts w:cs="Times New Roman"/>
                <w:szCs w:val="20"/>
                <w:lang w:eastAsia="en-US" w:bidi="ar-SA"/>
              </w:rPr>
            </w:pPr>
            <w:r w:rsidRPr="00115FB4">
              <w:rPr>
                <w:rFonts w:cs="Times New Roman"/>
                <w:sz w:val="22"/>
                <w:szCs w:val="20"/>
                <w:lang w:val="en-GB" w:eastAsia="en-US" w:bidi="ar-SA"/>
              </w:rPr>
              <w:lastRenderedPageBreak/>
              <w:t xml:space="preserve">The same dose is recommended for </w:t>
            </w:r>
            <w:r w:rsidRPr="00115FB4">
              <w:rPr>
                <w:rFonts w:cs="Times New Roman"/>
                <w:strike/>
                <w:sz w:val="22"/>
                <w:szCs w:val="20"/>
                <w:highlight w:val="yellow"/>
                <w:lang w:val="en-GB" w:eastAsia="en-US" w:bidi="ar-SA"/>
              </w:rPr>
              <w:t>children</w:t>
            </w:r>
            <w:r w:rsidRPr="00115FB4">
              <w:rPr>
                <w:rFonts w:cs="Times New Roman"/>
                <w:sz w:val="22"/>
                <w:szCs w:val="20"/>
                <w:lang w:val="en-GB" w:eastAsia="en-US" w:bidi="ar-SA"/>
              </w:rPr>
              <w:t>, adults, and elderly.</w:t>
            </w:r>
          </w:p>
          <w:p w:rsidR="00115FB4" w:rsidRDefault="00115FB4" w:rsidP="00115FB4">
            <w:pPr>
              <w:bidi w:val="0"/>
              <w:rPr>
                <w:rFonts w:cs="Times New Roman"/>
                <w:szCs w:val="20"/>
                <w:lang w:eastAsia="en-US" w:bidi="ar-SA"/>
              </w:rPr>
            </w:pPr>
          </w:p>
          <w:p w:rsidR="00115FB4" w:rsidRDefault="00115FB4" w:rsidP="00115FB4">
            <w:pPr>
              <w:rPr>
                <w:rFonts w:cs="Times New Roman"/>
                <w:highlight w:val="yellow"/>
                <w:rtl/>
              </w:rPr>
            </w:pPr>
          </w:p>
          <w:p w:rsidR="00115FB4" w:rsidRPr="00115FB4" w:rsidRDefault="00115FB4" w:rsidP="00115FB4">
            <w:pPr>
              <w:autoSpaceDE w:val="0"/>
              <w:autoSpaceDN w:val="0"/>
              <w:bidi w:val="0"/>
              <w:adjustRightInd w:val="0"/>
              <w:spacing w:line="360" w:lineRule="auto"/>
              <w:rPr>
                <w:rFonts w:cs="Times New Roman"/>
                <w:szCs w:val="20"/>
                <w:lang w:val="en-GB" w:eastAsia="en-US" w:bidi="ar-SA"/>
              </w:rPr>
            </w:pPr>
            <w:r w:rsidRPr="00115FB4">
              <w:rPr>
                <w:rFonts w:cs="Times New Roman"/>
                <w:sz w:val="22"/>
                <w:szCs w:val="20"/>
                <w:lang w:val="en-GB" w:eastAsia="en-US" w:bidi="ar-SA"/>
              </w:rPr>
              <w:t>Consolidation schedule:</w:t>
            </w:r>
          </w:p>
          <w:p w:rsidR="00115FB4" w:rsidRPr="00115FB4" w:rsidRDefault="00115FB4" w:rsidP="00115FB4">
            <w:pPr>
              <w:autoSpaceDE w:val="0"/>
              <w:autoSpaceDN w:val="0"/>
              <w:bidi w:val="0"/>
              <w:adjustRightInd w:val="0"/>
              <w:spacing w:line="360" w:lineRule="auto"/>
              <w:rPr>
                <w:rFonts w:cs="Times New Roman"/>
                <w:szCs w:val="20"/>
                <w:lang w:val="en-GB" w:eastAsia="en-US" w:bidi="ar-SA"/>
              </w:rPr>
            </w:pPr>
            <w:r w:rsidRPr="00115FB4">
              <w:rPr>
                <w:rFonts w:cs="Times New Roman"/>
                <w:sz w:val="22"/>
                <w:szCs w:val="20"/>
                <w:lang w:val="en-GB" w:eastAsia="en-US" w:bidi="ar-SA"/>
              </w:rPr>
              <w:t>Consolidation treatment must begin 3 to 4 weeks after completion of induction therapy. TRISENOX is</w:t>
            </w:r>
            <w:r>
              <w:rPr>
                <w:rFonts w:cs="Times New Roman"/>
                <w:sz w:val="22"/>
                <w:szCs w:val="20"/>
                <w:lang w:eastAsia="en-US" w:bidi="ar-SA"/>
              </w:rPr>
              <w:t xml:space="preserve"> </w:t>
            </w:r>
            <w:r w:rsidRPr="00115FB4">
              <w:rPr>
                <w:rFonts w:cs="Times New Roman"/>
                <w:sz w:val="22"/>
                <w:szCs w:val="20"/>
                <w:lang w:val="en-GB" w:eastAsia="en-US" w:bidi="ar-SA"/>
              </w:rPr>
              <w:t>to be administered intravenously at a dose of 0.15 mg/kg/day for 25 doses given 5 days per week,</w:t>
            </w:r>
            <w:r>
              <w:rPr>
                <w:rFonts w:cs="Times New Roman"/>
                <w:sz w:val="22"/>
                <w:szCs w:val="20"/>
                <w:lang w:val="en-GB" w:eastAsia="en-US" w:bidi="ar-SA"/>
              </w:rPr>
              <w:t xml:space="preserve"> </w:t>
            </w:r>
            <w:r w:rsidRPr="00115FB4">
              <w:rPr>
                <w:rFonts w:cs="Times New Roman"/>
                <w:sz w:val="22"/>
                <w:szCs w:val="20"/>
                <w:lang w:val="en-GB" w:eastAsia="en-US" w:bidi="ar-SA"/>
              </w:rPr>
              <w:t xml:space="preserve">followed by 2 days interruption, repeated for 5 weeks. </w:t>
            </w:r>
          </w:p>
          <w:p w:rsidR="00115FB4" w:rsidRDefault="00115FB4" w:rsidP="00115FB4">
            <w:pPr>
              <w:autoSpaceDE w:val="0"/>
              <w:autoSpaceDN w:val="0"/>
              <w:bidi w:val="0"/>
              <w:adjustRightInd w:val="0"/>
              <w:spacing w:line="360" w:lineRule="auto"/>
              <w:rPr>
                <w:rFonts w:cs="Times New Roman"/>
                <w:strike/>
                <w:szCs w:val="20"/>
                <w:lang w:eastAsia="en-US" w:bidi="ar-SA"/>
              </w:rPr>
            </w:pPr>
            <w:r w:rsidRPr="00115FB4">
              <w:rPr>
                <w:rFonts w:cs="Times New Roman"/>
                <w:strike/>
                <w:sz w:val="22"/>
                <w:szCs w:val="20"/>
                <w:highlight w:val="yellow"/>
                <w:lang w:val="en-GB" w:eastAsia="en-US" w:bidi="ar-SA"/>
              </w:rPr>
              <w:t xml:space="preserve">Paediatric use: The experience in children is limited. Of 7 patients </w:t>
            </w:r>
            <w:proofErr w:type="gramStart"/>
            <w:r w:rsidRPr="00115FB4">
              <w:rPr>
                <w:rFonts w:cs="Times New Roman"/>
                <w:strike/>
                <w:sz w:val="22"/>
                <w:szCs w:val="20"/>
                <w:highlight w:val="yellow"/>
                <w:lang w:val="en-GB" w:eastAsia="en-US" w:bidi="ar-SA"/>
              </w:rPr>
              <w:t>under</w:t>
            </w:r>
            <w:proofErr w:type="gramEnd"/>
            <w:r w:rsidRPr="00115FB4">
              <w:rPr>
                <w:rFonts w:cs="Times New Roman"/>
                <w:strike/>
                <w:sz w:val="22"/>
                <w:szCs w:val="20"/>
                <w:highlight w:val="yellow"/>
                <w:lang w:val="en-GB" w:eastAsia="en-US" w:bidi="ar-SA"/>
              </w:rPr>
              <w:t xml:space="preserve"> 18 years of age (range 5 to 16 years) treated with TRISENOX at the recommended dose of 0.15 mg/kg/day, 5 patients achieved a complete response. Safety and effectiveness in paediatric patients under 5 years of age have not been studied.</w:t>
            </w:r>
          </w:p>
          <w:p w:rsidR="00C97934" w:rsidRDefault="00C97934" w:rsidP="00C97934">
            <w:pPr>
              <w:autoSpaceDE w:val="0"/>
              <w:autoSpaceDN w:val="0"/>
              <w:bidi w:val="0"/>
              <w:adjustRightInd w:val="0"/>
              <w:spacing w:line="360" w:lineRule="auto"/>
              <w:rPr>
                <w:rFonts w:cs="Times New Roman"/>
                <w:strike/>
                <w:szCs w:val="20"/>
                <w:lang w:eastAsia="en-US" w:bidi="ar-SA"/>
              </w:rPr>
            </w:pPr>
          </w:p>
          <w:p w:rsidR="00C97934" w:rsidRDefault="00C97934" w:rsidP="00C97934">
            <w:pPr>
              <w:autoSpaceDE w:val="0"/>
              <w:autoSpaceDN w:val="0"/>
              <w:bidi w:val="0"/>
              <w:adjustRightInd w:val="0"/>
              <w:spacing w:line="360" w:lineRule="auto"/>
              <w:rPr>
                <w:rFonts w:cs="Times New Roman"/>
                <w:strike/>
                <w:szCs w:val="20"/>
                <w:lang w:eastAsia="en-US" w:bidi="ar-SA"/>
              </w:rPr>
            </w:pPr>
          </w:p>
          <w:p w:rsidR="00C97934" w:rsidRDefault="00C97934" w:rsidP="00C97934">
            <w:pPr>
              <w:autoSpaceDE w:val="0"/>
              <w:autoSpaceDN w:val="0"/>
              <w:bidi w:val="0"/>
              <w:adjustRightInd w:val="0"/>
              <w:spacing w:line="360" w:lineRule="auto"/>
              <w:rPr>
                <w:rFonts w:cs="Times New Roman"/>
                <w:strike/>
                <w:szCs w:val="20"/>
                <w:lang w:eastAsia="en-US" w:bidi="ar-SA"/>
              </w:rPr>
            </w:pPr>
          </w:p>
          <w:p w:rsidR="00C97934" w:rsidRDefault="00C97934" w:rsidP="00C97934">
            <w:pPr>
              <w:autoSpaceDE w:val="0"/>
              <w:autoSpaceDN w:val="0"/>
              <w:bidi w:val="0"/>
              <w:adjustRightInd w:val="0"/>
              <w:spacing w:line="360" w:lineRule="auto"/>
              <w:rPr>
                <w:rFonts w:cs="Times New Roman"/>
                <w:strike/>
                <w:szCs w:val="20"/>
                <w:lang w:eastAsia="en-US" w:bidi="ar-SA"/>
              </w:rPr>
            </w:pPr>
          </w:p>
          <w:p w:rsidR="00C97934" w:rsidRDefault="00C97934" w:rsidP="00C97934">
            <w:pPr>
              <w:autoSpaceDE w:val="0"/>
              <w:autoSpaceDN w:val="0"/>
              <w:bidi w:val="0"/>
              <w:adjustRightInd w:val="0"/>
              <w:spacing w:line="360" w:lineRule="auto"/>
              <w:rPr>
                <w:rFonts w:cs="Times New Roman"/>
                <w:strike/>
                <w:szCs w:val="20"/>
                <w:lang w:eastAsia="en-US" w:bidi="ar-SA"/>
              </w:rPr>
            </w:pPr>
          </w:p>
          <w:p w:rsidR="00C97934" w:rsidRPr="00115FB4" w:rsidRDefault="00C97934" w:rsidP="00C97934">
            <w:pPr>
              <w:autoSpaceDE w:val="0"/>
              <w:autoSpaceDN w:val="0"/>
              <w:bidi w:val="0"/>
              <w:adjustRightInd w:val="0"/>
              <w:spacing w:line="360" w:lineRule="auto"/>
              <w:rPr>
                <w:rFonts w:cs="Times New Roman"/>
                <w:strike/>
                <w:szCs w:val="20"/>
                <w:lang w:eastAsia="en-US" w:bidi="ar-SA"/>
              </w:rPr>
            </w:pPr>
          </w:p>
          <w:p w:rsidR="00115FB4" w:rsidRPr="00115FB4" w:rsidRDefault="00115FB4" w:rsidP="00C97934">
            <w:pPr>
              <w:bidi w:val="0"/>
              <w:rPr>
                <w:rFonts w:cs="Times New Roman"/>
                <w:highlight w:val="yellow"/>
              </w:rPr>
            </w:pPr>
          </w:p>
          <w:p w:rsidR="00C97934" w:rsidRPr="00C97934" w:rsidRDefault="00C97934" w:rsidP="00C97934">
            <w:pPr>
              <w:tabs>
                <w:tab w:val="left" w:pos="567"/>
              </w:tabs>
              <w:bidi w:val="0"/>
              <w:rPr>
                <w:rFonts w:cs="Times New Roman"/>
                <w:szCs w:val="20"/>
                <w:highlight w:val="yellow"/>
                <w:u w:val="single"/>
                <w:lang w:val="en-GB" w:eastAsia="en-US" w:bidi="ar-SA"/>
              </w:rPr>
            </w:pPr>
            <w:r w:rsidRPr="00C97934">
              <w:rPr>
                <w:rFonts w:cs="Times New Roman"/>
                <w:sz w:val="22"/>
                <w:szCs w:val="20"/>
                <w:highlight w:val="yellow"/>
                <w:u w:val="single"/>
                <w:lang w:val="en-GB" w:eastAsia="en-US" w:bidi="ar-SA"/>
              </w:rPr>
              <w:t xml:space="preserve">Dose delay, modification and </w:t>
            </w:r>
            <w:proofErr w:type="spellStart"/>
            <w:r w:rsidRPr="00C97934">
              <w:rPr>
                <w:rFonts w:cs="Times New Roman"/>
                <w:sz w:val="22"/>
                <w:szCs w:val="20"/>
                <w:highlight w:val="yellow"/>
                <w:u w:val="single"/>
                <w:lang w:val="en-GB" w:eastAsia="en-US" w:bidi="ar-SA"/>
              </w:rPr>
              <w:t>reinitiation</w:t>
            </w:r>
            <w:proofErr w:type="spellEnd"/>
          </w:p>
          <w:p w:rsidR="00C97934" w:rsidRPr="00C97934" w:rsidRDefault="00C97934" w:rsidP="00C97934">
            <w:pPr>
              <w:tabs>
                <w:tab w:val="left" w:pos="567"/>
              </w:tabs>
              <w:bidi w:val="0"/>
              <w:rPr>
                <w:rFonts w:cs="Times New Roman"/>
                <w:szCs w:val="20"/>
                <w:highlight w:val="yellow"/>
                <w:lang w:val="en-GB" w:eastAsia="en-US" w:bidi="ar-SA"/>
              </w:rPr>
            </w:pPr>
            <w:r w:rsidRPr="00C97934">
              <w:rPr>
                <w:rFonts w:cs="Times New Roman"/>
                <w:sz w:val="22"/>
                <w:szCs w:val="20"/>
                <w:highlight w:val="yellow"/>
                <w:lang w:val="en-GB" w:eastAsia="en-US" w:bidi="ar-SA"/>
              </w:rPr>
              <w:t>Treatment with TRISENOX must be interrupted, adjusted, or discontinued before the scheduled end of therapy at any time that a toxicity grade 3 or greater on the National Cancer Institute Common Toxicity Criteria is observed and judged to be possibly related to TRISENOX treatment. Patients who experience such reactions that are considered TRISENOX related must resume treatment only after resolution of the toxic event or after recovery to baseline status of the abnormality that prompted the interruption. In such cases, treatment must resume at 50% of the preceding daily dose. If the toxic event does not recur within 3 days of restarting treatment at the reduced dose, the daily dose can be escalated back to 100% of the original dose. Patients who experience a recurrence of toxicity must be removed from treatment.</w:t>
            </w:r>
          </w:p>
          <w:p w:rsidR="00C97934" w:rsidRDefault="00C97934" w:rsidP="00C97934">
            <w:pPr>
              <w:tabs>
                <w:tab w:val="left" w:pos="567"/>
              </w:tabs>
              <w:bidi w:val="0"/>
              <w:rPr>
                <w:rFonts w:cs="Times New Roman"/>
                <w:szCs w:val="20"/>
                <w:lang w:eastAsia="en-US" w:bidi="ar-SA"/>
              </w:rPr>
            </w:pPr>
            <w:r w:rsidRPr="00C97934">
              <w:rPr>
                <w:rFonts w:cs="Times New Roman"/>
                <w:sz w:val="22"/>
                <w:szCs w:val="20"/>
                <w:highlight w:val="yellow"/>
                <w:lang w:val="en-GB" w:eastAsia="en-US" w:bidi="ar-SA"/>
              </w:rPr>
              <w:t>For ECG and electrolytes abnormalities, see section 4.4.</w:t>
            </w:r>
          </w:p>
          <w:p w:rsidR="00486017" w:rsidRDefault="00486017" w:rsidP="00486017">
            <w:pPr>
              <w:tabs>
                <w:tab w:val="left" w:pos="567"/>
              </w:tabs>
              <w:bidi w:val="0"/>
              <w:rPr>
                <w:rFonts w:cs="Times New Roman"/>
                <w:szCs w:val="20"/>
                <w:lang w:eastAsia="en-US" w:bidi="ar-SA"/>
              </w:rPr>
            </w:pPr>
          </w:p>
          <w:p w:rsidR="00486017" w:rsidRDefault="00486017" w:rsidP="00486017">
            <w:pPr>
              <w:tabs>
                <w:tab w:val="left" w:pos="567"/>
              </w:tabs>
              <w:bidi w:val="0"/>
              <w:rPr>
                <w:rFonts w:cs="Times New Roman"/>
                <w:szCs w:val="20"/>
                <w:lang w:eastAsia="en-US" w:bidi="ar-SA"/>
              </w:rPr>
            </w:pPr>
          </w:p>
          <w:p w:rsidR="00486017" w:rsidRPr="00486017" w:rsidRDefault="00486017" w:rsidP="00486017">
            <w:pPr>
              <w:tabs>
                <w:tab w:val="left" w:pos="567"/>
              </w:tabs>
              <w:bidi w:val="0"/>
              <w:rPr>
                <w:rFonts w:cs="Times New Roman"/>
                <w:szCs w:val="20"/>
                <w:highlight w:val="yellow"/>
                <w:u w:val="single"/>
                <w:lang w:val="en-GB" w:bidi="ar-SA"/>
              </w:rPr>
            </w:pPr>
            <w:r w:rsidRPr="00486017">
              <w:rPr>
                <w:rFonts w:cs="Times New Roman"/>
                <w:szCs w:val="20"/>
                <w:highlight w:val="yellow"/>
                <w:u w:val="single"/>
                <w:lang w:val="en-GB" w:bidi="ar-SA"/>
              </w:rPr>
              <w:t>Patients with hepatic and/or renal impairment</w:t>
            </w:r>
          </w:p>
          <w:p w:rsidR="00486017" w:rsidRPr="00486017" w:rsidRDefault="00486017" w:rsidP="00486017">
            <w:pPr>
              <w:tabs>
                <w:tab w:val="left" w:pos="567"/>
              </w:tabs>
              <w:bidi w:val="0"/>
              <w:rPr>
                <w:rFonts w:cs="Times New Roman"/>
                <w:szCs w:val="20"/>
                <w:highlight w:val="yellow"/>
                <w:lang w:val="en-GB" w:bidi="ar-SA"/>
              </w:rPr>
            </w:pPr>
            <w:r w:rsidRPr="00486017">
              <w:rPr>
                <w:rFonts w:cs="Times New Roman"/>
                <w:szCs w:val="20"/>
                <w:highlight w:val="yellow"/>
                <w:lang w:val="en-GB" w:bidi="ar-SA"/>
              </w:rPr>
              <w:t>Since limited data are available across all hepatic impairment groups and across all renal impairment groups, caution is advised in the use of TRISENOX in patients with hepatic and/or renal impairment.</w:t>
            </w:r>
          </w:p>
          <w:p w:rsidR="00486017" w:rsidRPr="00486017" w:rsidRDefault="00486017" w:rsidP="00486017">
            <w:pPr>
              <w:tabs>
                <w:tab w:val="left" w:pos="567"/>
              </w:tabs>
              <w:bidi w:val="0"/>
              <w:rPr>
                <w:rFonts w:cs="Times New Roman"/>
                <w:szCs w:val="20"/>
                <w:highlight w:val="yellow"/>
                <w:lang w:val="en-GB" w:bidi="ar-SA"/>
              </w:rPr>
            </w:pPr>
          </w:p>
          <w:p w:rsidR="00486017" w:rsidRPr="00486017" w:rsidRDefault="00486017" w:rsidP="00486017">
            <w:pPr>
              <w:tabs>
                <w:tab w:val="left" w:pos="567"/>
              </w:tabs>
              <w:bidi w:val="0"/>
              <w:rPr>
                <w:rFonts w:cs="Times New Roman"/>
                <w:szCs w:val="20"/>
                <w:highlight w:val="yellow"/>
                <w:u w:val="single"/>
                <w:lang w:val="en-GB" w:bidi="ar-SA"/>
              </w:rPr>
            </w:pPr>
            <w:r w:rsidRPr="00486017">
              <w:rPr>
                <w:rFonts w:cs="Times New Roman"/>
                <w:szCs w:val="20"/>
                <w:highlight w:val="yellow"/>
                <w:u w:val="single"/>
                <w:lang w:val="en-GB" w:bidi="ar-SA"/>
              </w:rPr>
              <w:t>Paediatric</w:t>
            </w:r>
            <w:r w:rsidRPr="00486017">
              <w:rPr>
                <w:rFonts w:cs="Times New Roman"/>
                <w:i/>
                <w:szCs w:val="20"/>
                <w:highlight w:val="yellow"/>
                <w:u w:val="single"/>
                <w:lang w:val="en-GB" w:bidi="ar-SA"/>
              </w:rPr>
              <w:t xml:space="preserve"> </w:t>
            </w:r>
            <w:r w:rsidRPr="00486017">
              <w:rPr>
                <w:rFonts w:cs="Times New Roman"/>
                <w:szCs w:val="20"/>
                <w:highlight w:val="yellow"/>
                <w:u w:val="single"/>
                <w:lang w:val="en-GB" w:bidi="ar-SA"/>
              </w:rPr>
              <w:t xml:space="preserve">population </w:t>
            </w:r>
          </w:p>
          <w:p w:rsidR="00486017" w:rsidRPr="00560134" w:rsidRDefault="00486017" w:rsidP="00486017">
            <w:pPr>
              <w:tabs>
                <w:tab w:val="left" w:pos="567"/>
              </w:tabs>
              <w:bidi w:val="0"/>
              <w:rPr>
                <w:rFonts w:cs="Times New Roman"/>
                <w:szCs w:val="20"/>
                <w:lang w:val="en-GB" w:bidi="ar-SA"/>
              </w:rPr>
            </w:pPr>
            <w:r w:rsidRPr="00486017">
              <w:rPr>
                <w:rFonts w:cs="Times New Roman"/>
                <w:szCs w:val="20"/>
                <w:highlight w:val="yellow"/>
                <w:lang w:val="en-GB" w:bidi="ar-SA"/>
              </w:rPr>
              <w:t>The safety and efficacy of TRISENOX in children aged up to 17 years has not been established. Currently available data for children aged 5 to 16 years are described in section 5.1 but no recommendation on a posology can be made. No data are available for children under 5 years.</w:t>
            </w:r>
            <w:r w:rsidRPr="00560134">
              <w:rPr>
                <w:rFonts w:cs="Times New Roman"/>
                <w:szCs w:val="20"/>
                <w:lang w:val="en-GB" w:bidi="ar-SA"/>
              </w:rPr>
              <w:t xml:space="preserve"> </w:t>
            </w:r>
          </w:p>
          <w:p w:rsidR="00486017" w:rsidRPr="00C97934" w:rsidRDefault="00486017" w:rsidP="00486017">
            <w:pPr>
              <w:tabs>
                <w:tab w:val="left" w:pos="567"/>
              </w:tabs>
              <w:bidi w:val="0"/>
              <w:rPr>
                <w:rFonts w:cs="Times New Roman"/>
                <w:szCs w:val="20"/>
                <w:lang w:eastAsia="en-US" w:bidi="ar-SA"/>
              </w:rPr>
            </w:pPr>
          </w:p>
          <w:p w:rsidR="00486017" w:rsidRPr="00560134" w:rsidRDefault="00486017" w:rsidP="00486017">
            <w:pPr>
              <w:tabs>
                <w:tab w:val="left" w:pos="567"/>
              </w:tabs>
              <w:bidi w:val="0"/>
              <w:rPr>
                <w:rFonts w:cs="Times New Roman"/>
                <w:b/>
                <w:bCs/>
                <w:szCs w:val="20"/>
                <w:lang w:val="en-GB" w:bidi="ar-SA"/>
              </w:rPr>
            </w:pPr>
            <w:r w:rsidRPr="00560134">
              <w:rPr>
                <w:rFonts w:cs="Times New Roman"/>
                <w:b/>
                <w:bCs/>
                <w:szCs w:val="20"/>
                <w:lang w:val="en-GB" w:bidi="ar-SA"/>
              </w:rPr>
              <w:t>Method of administration</w:t>
            </w:r>
          </w:p>
          <w:p w:rsidR="00486017" w:rsidRPr="00560134" w:rsidRDefault="00486017" w:rsidP="00486017">
            <w:pPr>
              <w:tabs>
                <w:tab w:val="left" w:pos="567"/>
              </w:tabs>
              <w:bidi w:val="0"/>
              <w:rPr>
                <w:rFonts w:cs="Times New Roman"/>
                <w:szCs w:val="20"/>
                <w:lang w:val="en-GB" w:bidi="ar-SA"/>
              </w:rPr>
            </w:pPr>
          </w:p>
          <w:p w:rsidR="00486017" w:rsidRPr="00560134" w:rsidRDefault="00486017" w:rsidP="00486017">
            <w:pPr>
              <w:tabs>
                <w:tab w:val="left" w:pos="567"/>
              </w:tabs>
              <w:bidi w:val="0"/>
              <w:rPr>
                <w:rFonts w:cs="Times New Roman"/>
                <w:szCs w:val="20"/>
                <w:lang w:val="en-GB" w:bidi="ar-SA"/>
              </w:rPr>
            </w:pPr>
            <w:r w:rsidRPr="00560134">
              <w:rPr>
                <w:rFonts w:cs="Times New Roman"/>
                <w:szCs w:val="20"/>
                <w:lang w:val="en-GB" w:bidi="ar-SA"/>
              </w:rPr>
              <w:t xml:space="preserve">TRISENOX must be administered intravenously over 1-2 hours. The infusion duration may be extended up to 4 hours if vasomotor reactions are observed. A central venous catheter is not </w:t>
            </w:r>
            <w:r w:rsidRPr="00560134">
              <w:rPr>
                <w:rFonts w:cs="Times New Roman"/>
                <w:szCs w:val="20"/>
                <w:lang w:val="en-GB" w:bidi="ar-SA"/>
              </w:rPr>
              <w:lastRenderedPageBreak/>
              <w:t>required. Patients must be hospitalised at the beginning of treatment due to symptoms of disease and to ensure adequate monitoring.</w:t>
            </w:r>
          </w:p>
          <w:p w:rsidR="00486017" w:rsidRPr="00560134" w:rsidRDefault="00486017" w:rsidP="00486017">
            <w:pPr>
              <w:tabs>
                <w:tab w:val="left" w:pos="567"/>
              </w:tabs>
              <w:bidi w:val="0"/>
              <w:rPr>
                <w:rFonts w:cs="Times New Roman"/>
                <w:szCs w:val="20"/>
                <w:lang w:val="en-GB" w:bidi="ar-SA"/>
              </w:rPr>
            </w:pPr>
            <w:r w:rsidRPr="00486017">
              <w:rPr>
                <w:rFonts w:cs="Times New Roman"/>
                <w:highlight w:val="yellow"/>
                <w:lang w:val="en-GB" w:bidi="ar-SA"/>
              </w:rPr>
              <w:t>For instructions on preparation of the medicinal product before administration, see section 6.6.</w:t>
            </w:r>
            <w:r w:rsidRPr="00560134">
              <w:rPr>
                <w:rFonts w:cs="Times New Roman"/>
                <w:lang w:val="en-GB" w:bidi="ar-SA"/>
              </w:rPr>
              <w:t xml:space="preserve"> </w:t>
            </w:r>
          </w:p>
          <w:p w:rsidR="00115FB4" w:rsidRPr="00486017" w:rsidRDefault="00115FB4" w:rsidP="00486017">
            <w:pPr>
              <w:bidi w:val="0"/>
              <w:rPr>
                <w:rFonts w:asciiTheme="minorBidi" w:hAnsiTheme="minorBidi" w:cstheme="minorBidi"/>
                <w:lang w:val="en-GB" w:eastAsia="en-US"/>
              </w:rPr>
            </w:pPr>
          </w:p>
        </w:tc>
      </w:tr>
      <w:tr w:rsidR="00B7213F" w:rsidRPr="000E5AEB" w:rsidTr="00EA6FC5">
        <w:trPr>
          <w:jc w:val="center"/>
        </w:trPr>
        <w:tc>
          <w:tcPr>
            <w:tcW w:w="1799" w:type="dxa"/>
            <w:tcBorders>
              <w:top w:val="single" w:sz="4" w:space="0" w:color="auto"/>
              <w:bottom w:val="single" w:sz="4" w:space="0" w:color="auto"/>
            </w:tcBorders>
          </w:tcPr>
          <w:p w:rsidR="00B7213F" w:rsidRPr="008A3DB4" w:rsidRDefault="00B7213F" w:rsidP="00B7213F">
            <w:pPr>
              <w:jc w:val="center"/>
              <w:rPr>
                <w:rFonts w:cs="Times New Roman"/>
                <w:b/>
                <w:bCs/>
                <w:rtl/>
              </w:rPr>
            </w:pPr>
            <w:r w:rsidRPr="008A3DB4">
              <w:rPr>
                <w:rFonts w:cs="Times New Roman"/>
                <w:b/>
                <w:bCs/>
                <w:sz w:val="22"/>
                <w:szCs w:val="22"/>
              </w:rPr>
              <w:lastRenderedPageBreak/>
              <w:t>4.</w:t>
            </w:r>
            <w:r>
              <w:rPr>
                <w:rFonts w:cs="Times New Roman"/>
                <w:b/>
                <w:bCs/>
                <w:sz w:val="22"/>
                <w:szCs w:val="22"/>
              </w:rPr>
              <w:t>3</w:t>
            </w:r>
            <w:r w:rsidRPr="008A3DB4">
              <w:rPr>
                <w:rFonts w:cs="Times New Roman"/>
                <w:b/>
                <w:bCs/>
                <w:sz w:val="22"/>
                <w:szCs w:val="22"/>
              </w:rPr>
              <w:t xml:space="preserve">  </w:t>
            </w:r>
            <w:r>
              <w:rPr>
                <w:rFonts w:cs="Times New Roman"/>
                <w:b/>
                <w:bCs/>
                <w:sz w:val="22"/>
                <w:szCs w:val="22"/>
              </w:rPr>
              <w:t>Contraindications</w:t>
            </w:r>
          </w:p>
        </w:tc>
        <w:tc>
          <w:tcPr>
            <w:tcW w:w="4296" w:type="dxa"/>
            <w:tcBorders>
              <w:top w:val="single" w:sz="4" w:space="0" w:color="auto"/>
              <w:bottom w:val="single" w:sz="4" w:space="0" w:color="auto"/>
            </w:tcBorders>
          </w:tcPr>
          <w:p w:rsidR="00B7213F" w:rsidRPr="00B7213F" w:rsidRDefault="00B7213F" w:rsidP="00B7213F">
            <w:pPr>
              <w:autoSpaceDE w:val="0"/>
              <w:autoSpaceDN w:val="0"/>
              <w:bidi w:val="0"/>
              <w:adjustRightInd w:val="0"/>
              <w:spacing w:line="360" w:lineRule="auto"/>
              <w:rPr>
                <w:rFonts w:cs="Times New Roman"/>
                <w:szCs w:val="20"/>
                <w:lang w:val="en-GB" w:eastAsia="en-US" w:bidi="ar-SA"/>
              </w:rPr>
            </w:pPr>
            <w:r w:rsidRPr="00B7213F">
              <w:rPr>
                <w:rFonts w:cs="Times New Roman"/>
                <w:sz w:val="22"/>
                <w:szCs w:val="20"/>
                <w:lang w:val="en-GB" w:eastAsia="en-US" w:bidi="ar-SA"/>
              </w:rPr>
              <w:t>Hypersensitivity to arsenic or any of the excipients.</w:t>
            </w:r>
          </w:p>
          <w:p w:rsidR="00B7213F" w:rsidRPr="00B7213F" w:rsidRDefault="00B7213F" w:rsidP="00EA6FC5">
            <w:pPr>
              <w:jc w:val="center"/>
              <w:rPr>
                <w:rFonts w:cs="Times New Roman"/>
                <w:szCs w:val="20"/>
                <w:rtl/>
                <w:lang w:val="en-GB" w:eastAsia="en-US"/>
              </w:rPr>
            </w:pPr>
          </w:p>
        </w:tc>
        <w:tc>
          <w:tcPr>
            <w:tcW w:w="4252" w:type="dxa"/>
            <w:tcBorders>
              <w:top w:val="single" w:sz="4" w:space="0" w:color="auto"/>
              <w:bottom w:val="single" w:sz="4" w:space="0" w:color="auto"/>
              <w:right w:val="single" w:sz="4" w:space="0" w:color="auto"/>
            </w:tcBorders>
          </w:tcPr>
          <w:p w:rsidR="00B7213F" w:rsidRPr="00B7213F" w:rsidRDefault="00B7213F" w:rsidP="00B7213F">
            <w:pPr>
              <w:tabs>
                <w:tab w:val="left" w:pos="567"/>
              </w:tabs>
              <w:bidi w:val="0"/>
              <w:rPr>
                <w:rFonts w:cs="Times New Roman"/>
                <w:szCs w:val="20"/>
                <w:lang w:val="en-GB" w:eastAsia="en-US" w:bidi="ar-SA"/>
              </w:rPr>
            </w:pPr>
            <w:r w:rsidRPr="00B7213F">
              <w:rPr>
                <w:rFonts w:cs="Times New Roman"/>
                <w:sz w:val="22"/>
                <w:szCs w:val="20"/>
                <w:highlight w:val="yellow"/>
                <w:lang w:val="en-GB" w:eastAsia="en-US" w:bidi="ar-SA"/>
              </w:rPr>
              <w:t>Hypersensitivity to the active substance or to any of the excipients listed in section 6.1.</w:t>
            </w:r>
          </w:p>
          <w:p w:rsidR="00B7213F" w:rsidRPr="00B7213F" w:rsidRDefault="00B7213F" w:rsidP="00EA6FC5">
            <w:pPr>
              <w:bidi w:val="0"/>
              <w:rPr>
                <w:rFonts w:cs="Times New Roman"/>
                <w:i/>
                <w:highlight w:val="yellow"/>
                <w:lang w:eastAsia="en-US"/>
              </w:rPr>
            </w:pPr>
          </w:p>
        </w:tc>
      </w:tr>
      <w:tr w:rsidR="00151352" w:rsidRPr="000E5AEB" w:rsidTr="00EA6FC5">
        <w:trPr>
          <w:jc w:val="center"/>
        </w:trPr>
        <w:tc>
          <w:tcPr>
            <w:tcW w:w="1799" w:type="dxa"/>
            <w:tcBorders>
              <w:top w:val="single" w:sz="4" w:space="0" w:color="auto"/>
              <w:bottom w:val="single" w:sz="4" w:space="0" w:color="auto"/>
            </w:tcBorders>
          </w:tcPr>
          <w:p w:rsidR="00151352" w:rsidRPr="008A3DB4" w:rsidRDefault="00151352" w:rsidP="00EA6FC5">
            <w:pPr>
              <w:jc w:val="center"/>
              <w:rPr>
                <w:rFonts w:cs="Times New Roman"/>
                <w:b/>
                <w:bCs/>
              </w:rPr>
            </w:pPr>
            <w:r w:rsidRPr="008A3DB4">
              <w:rPr>
                <w:rFonts w:cs="Times New Roman"/>
                <w:b/>
                <w:bCs/>
                <w:sz w:val="22"/>
                <w:szCs w:val="22"/>
              </w:rPr>
              <w:t>4.4  Special warnings and precautions for use</w:t>
            </w:r>
          </w:p>
        </w:tc>
        <w:tc>
          <w:tcPr>
            <w:tcW w:w="4296" w:type="dxa"/>
            <w:tcBorders>
              <w:top w:val="single" w:sz="4" w:space="0" w:color="auto"/>
              <w:bottom w:val="single" w:sz="4" w:space="0" w:color="auto"/>
            </w:tcBorders>
          </w:tcPr>
          <w:p w:rsidR="00151352" w:rsidRDefault="00A555AE" w:rsidP="007E6194">
            <w:pPr>
              <w:jc w:val="right"/>
              <w:rPr>
                <w:rFonts w:cs="Times New Roman"/>
                <w:szCs w:val="20"/>
                <w:lang w:val="en-GB" w:bidi="ar-SA"/>
              </w:rPr>
            </w:pPr>
            <w:r w:rsidRPr="00560134">
              <w:rPr>
                <w:rFonts w:cs="Times New Roman"/>
                <w:szCs w:val="20"/>
                <w:u w:val="single"/>
                <w:lang w:val="en-GB" w:bidi="ar-SA"/>
              </w:rPr>
              <w:t>Leukocyte Activation Syndrome (APL Differentiation Syndrome)</w:t>
            </w:r>
            <w:r w:rsidRPr="00560134">
              <w:rPr>
                <w:rFonts w:cs="Times New Roman"/>
                <w:szCs w:val="20"/>
                <w:lang w:val="en-GB" w:bidi="ar-SA"/>
              </w:rPr>
              <w:t>:</w:t>
            </w:r>
            <w:r w:rsidRPr="00560134">
              <w:rPr>
                <w:rFonts w:cs="Times New Roman"/>
                <w:b/>
                <w:szCs w:val="20"/>
                <w:lang w:val="en-GB" w:bidi="ar-SA"/>
              </w:rPr>
              <w:t xml:space="preserve"> </w:t>
            </w:r>
            <w:r w:rsidR="007E6194">
              <w:rPr>
                <w:rFonts w:cs="Times New Roman"/>
                <w:szCs w:val="20"/>
              </w:rPr>
              <w:t>twenty</w:t>
            </w:r>
            <w:r>
              <w:rPr>
                <w:rFonts w:cs="Times New Roman"/>
                <w:szCs w:val="20"/>
              </w:rPr>
              <w:t xml:space="preserve"> five percent</w:t>
            </w:r>
            <w:r w:rsidRPr="00560134">
              <w:rPr>
                <w:rFonts w:cs="Times New Roman"/>
                <w:szCs w:val="20"/>
                <w:lang w:val="en-GB" w:bidi="ar-SA"/>
              </w:rPr>
              <w:t xml:space="preserve"> of patients with APL treated with TRISENOX have experienced symptoms similar to a syndrome called the retinoic-acid-acute </w:t>
            </w:r>
            <w:proofErr w:type="spellStart"/>
            <w:r w:rsidRPr="00560134">
              <w:rPr>
                <w:rFonts w:cs="Times New Roman"/>
                <w:szCs w:val="20"/>
                <w:lang w:val="en-GB" w:bidi="ar-SA"/>
              </w:rPr>
              <w:t>promyelocytic</w:t>
            </w:r>
            <w:proofErr w:type="spellEnd"/>
            <w:r w:rsidRPr="00560134">
              <w:rPr>
                <w:rFonts w:cs="Times New Roman"/>
                <w:szCs w:val="20"/>
                <w:lang w:val="en-GB" w:bidi="ar-SA"/>
              </w:rPr>
              <w:t xml:space="preserve"> leukaemia (RA-APL) or APL differentiation syndrome, characterised by fever, dyspnoea, weight gain, pulmonary infiltrates and pleural or pericardial effusions, with or without </w:t>
            </w:r>
            <w:proofErr w:type="spellStart"/>
            <w:r w:rsidRPr="00560134">
              <w:rPr>
                <w:rFonts w:cs="Times New Roman"/>
                <w:szCs w:val="20"/>
                <w:lang w:val="en-GB" w:bidi="ar-SA"/>
              </w:rPr>
              <w:t>leukocytosis</w:t>
            </w:r>
            <w:proofErr w:type="spellEnd"/>
            <w:r w:rsidRPr="00560134">
              <w:rPr>
                <w:rFonts w:cs="Times New Roman"/>
                <w:szCs w:val="20"/>
                <w:lang w:val="en-GB" w:bidi="ar-SA"/>
              </w:rPr>
              <w:t>.</w:t>
            </w:r>
          </w:p>
          <w:p w:rsidR="00CB7E96" w:rsidRDefault="00CB7E96" w:rsidP="00A555AE">
            <w:pPr>
              <w:jc w:val="right"/>
              <w:rPr>
                <w:rFonts w:cs="Times New Roman"/>
                <w:szCs w:val="20"/>
                <w:lang w:val="en-GB" w:bidi="ar-SA"/>
              </w:rPr>
            </w:pPr>
          </w:p>
          <w:p w:rsidR="00CB7E96" w:rsidRDefault="00CB7E96" w:rsidP="00A555AE">
            <w:pPr>
              <w:jc w:val="right"/>
              <w:rPr>
                <w:rFonts w:cs="Times New Roman"/>
                <w:szCs w:val="20"/>
                <w:lang w:val="en-GB" w:bidi="ar-SA"/>
              </w:rPr>
            </w:pPr>
          </w:p>
          <w:p w:rsidR="00CB7E96" w:rsidRPr="00CB7E96" w:rsidRDefault="00CB7E96" w:rsidP="00CB7E96">
            <w:pPr>
              <w:autoSpaceDE w:val="0"/>
              <w:autoSpaceDN w:val="0"/>
              <w:bidi w:val="0"/>
              <w:adjustRightInd w:val="0"/>
              <w:spacing w:line="360" w:lineRule="auto"/>
              <w:rPr>
                <w:rFonts w:cs="Times New Roman"/>
                <w:szCs w:val="20"/>
                <w:lang w:val="en-GB" w:bidi="ar-SA"/>
              </w:rPr>
            </w:pPr>
            <w:r w:rsidRPr="00CB7E96">
              <w:rPr>
                <w:rFonts w:cs="Times New Roman"/>
                <w:szCs w:val="20"/>
                <w:lang w:val="en-GB" w:bidi="ar-SA"/>
              </w:rPr>
              <w:t>Dose Modification:</w:t>
            </w:r>
          </w:p>
          <w:p w:rsidR="002606C1" w:rsidRDefault="00CB7E96" w:rsidP="00CB7E96">
            <w:pPr>
              <w:autoSpaceDE w:val="0"/>
              <w:autoSpaceDN w:val="0"/>
              <w:bidi w:val="0"/>
              <w:adjustRightInd w:val="0"/>
              <w:spacing w:line="360" w:lineRule="auto"/>
              <w:rPr>
                <w:rFonts w:cs="Times New Roman"/>
                <w:szCs w:val="20"/>
                <w:lang w:val="en-GB" w:bidi="ar-SA"/>
              </w:rPr>
            </w:pPr>
            <w:r w:rsidRPr="00CB7E96">
              <w:rPr>
                <w:rFonts w:cs="Times New Roman"/>
                <w:szCs w:val="20"/>
                <w:lang w:val="en-GB" w:bidi="ar-SA"/>
              </w:rPr>
              <w:t>Treatment with TRISENOX must be interrupted, adjusted, or discontinued before the scheduled end of</w:t>
            </w:r>
            <w:r>
              <w:rPr>
                <w:rFonts w:cs="Times New Roman"/>
                <w:szCs w:val="20"/>
                <w:lang w:val="en-GB" w:bidi="ar-SA"/>
              </w:rPr>
              <w:t xml:space="preserve"> </w:t>
            </w:r>
            <w:r w:rsidRPr="00CB7E96">
              <w:rPr>
                <w:rFonts w:cs="Times New Roman"/>
                <w:szCs w:val="20"/>
                <w:lang w:val="en-GB" w:bidi="ar-SA"/>
              </w:rPr>
              <w:t xml:space="preserve">therapy at any time that a toxicity grade 3 or greater on the National Cancer Institute Common Toxicity Criteria, Version 2 is observed and judged to be possibly related to TRISENOX treatment. </w:t>
            </w:r>
          </w:p>
          <w:p w:rsidR="0005477C" w:rsidRDefault="0005477C" w:rsidP="002606C1">
            <w:pPr>
              <w:autoSpaceDE w:val="0"/>
              <w:autoSpaceDN w:val="0"/>
              <w:bidi w:val="0"/>
              <w:adjustRightInd w:val="0"/>
              <w:spacing w:line="360" w:lineRule="auto"/>
              <w:rPr>
                <w:rFonts w:cs="Times New Roman"/>
                <w:szCs w:val="20"/>
                <w:lang w:val="en-GB" w:bidi="ar-SA"/>
              </w:rPr>
            </w:pPr>
          </w:p>
          <w:p w:rsidR="00CB7E96" w:rsidRPr="00CB7E96" w:rsidRDefault="00CB7E96" w:rsidP="00B335E2">
            <w:pPr>
              <w:autoSpaceDE w:val="0"/>
              <w:autoSpaceDN w:val="0"/>
              <w:bidi w:val="0"/>
              <w:adjustRightInd w:val="0"/>
              <w:spacing w:line="360" w:lineRule="auto"/>
              <w:rPr>
                <w:rFonts w:cs="Times New Roman"/>
                <w:szCs w:val="20"/>
                <w:lang w:val="en-GB" w:bidi="ar-SA"/>
              </w:rPr>
            </w:pPr>
            <w:r w:rsidRPr="00CB7E96">
              <w:rPr>
                <w:rFonts w:cs="Times New Roman"/>
                <w:szCs w:val="20"/>
                <w:lang w:val="en-GB" w:bidi="ar-SA"/>
              </w:rPr>
              <w:t xml:space="preserve">Patients who experience such reactions that are considered TRISENOX related must resume treatment only after resolution of the toxic event or after recovery to baseline status of the abnormality that </w:t>
            </w:r>
            <w:proofErr w:type="gramStart"/>
            <w:r w:rsidRPr="00CB7E96">
              <w:rPr>
                <w:rFonts w:cs="Times New Roman"/>
                <w:szCs w:val="20"/>
                <w:lang w:val="en-GB" w:bidi="ar-SA"/>
              </w:rPr>
              <w:t>prompted  the</w:t>
            </w:r>
            <w:proofErr w:type="gramEnd"/>
            <w:r w:rsidRPr="00CB7E96">
              <w:rPr>
                <w:rFonts w:cs="Times New Roman"/>
                <w:szCs w:val="20"/>
                <w:lang w:val="en-GB" w:bidi="ar-SA"/>
              </w:rPr>
              <w:t xml:space="preserve"> interruption. In such cases, treatment must </w:t>
            </w:r>
            <w:r w:rsidRPr="00CB7E96">
              <w:rPr>
                <w:rFonts w:cs="Times New Roman"/>
                <w:szCs w:val="20"/>
                <w:lang w:val="en-GB" w:bidi="ar-SA"/>
              </w:rPr>
              <w:lastRenderedPageBreak/>
              <w:t>resume at 50% of the preceding daily dose. If the toxic event does not recur within 3 days of restarting treatment at the reduced dose, the daily dose can be escalated back to 100% of the original dose. Patients who experience a recurrence of toxicity must be removed from treatment.</w:t>
            </w:r>
          </w:p>
          <w:p w:rsidR="00CB7E96" w:rsidRPr="00CB7E96" w:rsidRDefault="00CB7E96" w:rsidP="00A555AE">
            <w:pPr>
              <w:jc w:val="right"/>
              <w:rPr>
                <w:rFonts w:cs="Times New Roman"/>
                <w:szCs w:val="20"/>
                <w:lang w:bidi="ar-SA"/>
              </w:rPr>
            </w:pPr>
          </w:p>
          <w:p w:rsidR="00CB7E96" w:rsidRDefault="00CB7E96" w:rsidP="00A555AE">
            <w:pPr>
              <w:jc w:val="right"/>
              <w:rPr>
                <w:rFonts w:cs="Times New Roman"/>
                <w:b/>
                <w:bCs/>
                <w:lang w:val="en-GB"/>
              </w:rPr>
            </w:pPr>
          </w:p>
          <w:p w:rsidR="00CB7E96" w:rsidRDefault="00CB7E96" w:rsidP="00A555AE">
            <w:pPr>
              <w:jc w:val="right"/>
              <w:rPr>
                <w:rFonts w:cs="Times New Roman"/>
                <w:b/>
                <w:bCs/>
                <w:lang w:val="en-GB"/>
              </w:rPr>
            </w:pPr>
          </w:p>
          <w:p w:rsidR="00B470B0" w:rsidRDefault="00B470B0" w:rsidP="00A555AE">
            <w:pPr>
              <w:jc w:val="right"/>
              <w:rPr>
                <w:rFonts w:cs="Times New Roman"/>
                <w:szCs w:val="20"/>
                <w:u w:val="single"/>
                <w:rtl/>
                <w:lang w:val="en-GB"/>
              </w:rPr>
            </w:pPr>
          </w:p>
          <w:p w:rsidR="00CB7E96" w:rsidRDefault="00A72CC3" w:rsidP="00A555AE">
            <w:pPr>
              <w:jc w:val="right"/>
              <w:rPr>
                <w:rFonts w:cs="Times New Roman"/>
                <w:b/>
                <w:bCs/>
                <w:lang w:val="en-GB"/>
              </w:rPr>
            </w:pPr>
            <w:r w:rsidRPr="00560134">
              <w:rPr>
                <w:rFonts w:cs="Times New Roman"/>
                <w:szCs w:val="20"/>
                <w:u w:val="single"/>
                <w:lang w:val="en-GB" w:bidi="ar-SA"/>
              </w:rPr>
              <w:t>Patients with renal impairment</w:t>
            </w:r>
            <w:r w:rsidRPr="00560134">
              <w:rPr>
                <w:rFonts w:cs="Times New Roman"/>
                <w:szCs w:val="20"/>
                <w:lang w:val="en-GB" w:bidi="ar-SA"/>
              </w:rPr>
              <w:t>:</w:t>
            </w:r>
          </w:p>
          <w:p w:rsidR="00CB7E96" w:rsidRDefault="00A72CC3" w:rsidP="00A555AE">
            <w:pPr>
              <w:jc w:val="right"/>
              <w:rPr>
                <w:rFonts w:cs="Times New Roman"/>
                <w:b/>
                <w:bCs/>
                <w:lang w:val="en-GB"/>
              </w:rPr>
            </w:pPr>
            <w:r>
              <w:rPr>
                <w:rFonts w:cs="Times New Roman"/>
                <w:szCs w:val="20"/>
                <w:lang w:val="en-GB" w:bidi="ar-SA"/>
              </w:rPr>
              <w:t>C</w:t>
            </w:r>
            <w:r w:rsidRPr="00560134">
              <w:rPr>
                <w:rFonts w:cs="Times New Roman"/>
                <w:szCs w:val="20"/>
                <w:lang w:val="en-GB" w:bidi="ar-SA"/>
              </w:rPr>
              <w:t>aution is advised in the use of TRISENOX in patients with renal impairment.</w:t>
            </w:r>
          </w:p>
          <w:p w:rsidR="00A72CC3" w:rsidRPr="00A72CC3" w:rsidRDefault="00A72CC3" w:rsidP="00A72CC3">
            <w:pPr>
              <w:autoSpaceDE w:val="0"/>
              <w:autoSpaceDN w:val="0"/>
              <w:bidi w:val="0"/>
              <w:adjustRightInd w:val="0"/>
              <w:spacing w:line="360" w:lineRule="auto"/>
              <w:rPr>
                <w:rFonts w:cs="Times New Roman"/>
                <w:szCs w:val="20"/>
                <w:lang w:val="en-GB" w:bidi="ar-SA"/>
              </w:rPr>
            </w:pPr>
            <w:r w:rsidRPr="00A72CC3">
              <w:rPr>
                <w:rFonts w:cs="Times New Roman"/>
                <w:szCs w:val="20"/>
                <w:lang w:val="en-GB" w:bidi="ar-SA"/>
              </w:rPr>
              <w:t>In patients with severe renal impairment (</w:t>
            </w:r>
            <w:proofErr w:type="spellStart"/>
            <w:r w:rsidRPr="00A72CC3">
              <w:rPr>
                <w:rFonts w:cs="Times New Roman"/>
                <w:szCs w:val="20"/>
                <w:lang w:val="en-GB" w:bidi="ar-SA"/>
              </w:rPr>
              <w:t>creatinine</w:t>
            </w:r>
            <w:proofErr w:type="spellEnd"/>
            <w:r w:rsidRPr="00A72CC3">
              <w:rPr>
                <w:rFonts w:cs="Times New Roman"/>
                <w:szCs w:val="20"/>
                <w:lang w:val="en-GB" w:bidi="ar-SA"/>
              </w:rPr>
              <w:t xml:space="preserve"> clearance less than 30 mL/min), a dose reduction should be considered. The use of arsenic trioxide in patients on dialysis has not been studied.</w:t>
            </w:r>
          </w:p>
          <w:p w:rsidR="00CB7E96" w:rsidRPr="00A72CC3" w:rsidRDefault="00CB7E96" w:rsidP="00A555AE">
            <w:pPr>
              <w:jc w:val="right"/>
              <w:rPr>
                <w:rFonts w:cs="Times New Roman"/>
                <w:b/>
                <w:bCs/>
              </w:rPr>
            </w:pPr>
          </w:p>
          <w:p w:rsidR="00CB7E96" w:rsidRDefault="00CB7E96" w:rsidP="00A555AE">
            <w:pPr>
              <w:jc w:val="right"/>
              <w:rPr>
                <w:rFonts w:cs="Times New Roman"/>
                <w:b/>
                <w:bCs/>
                <w:lang w:val="en-GB"/>
              </w:rPr>
            </w:pPr>
          </w:p>
          <w:p w:rsidR="00A72CC3" w:rsidRDefault="00A72CC3" w:rsidP="002606C1">
            <w:pPr>
              <w:tabs>
                <w:tab w:val="left" w:pos="567"/>
              </w:tabs>
              <w:bidi w:val="0"/>
              <w:rPr>
                <w:rFonts w:cs="Times New Roman"/>
                <w:szCs w:val="20"/>
                <w:u w:val="single"/>
                <w:lang w:val="en-GB" w:bidi="ar-SA"/>
              </w:rPr>
            </w:pPr>
          </w:p>
          <w:p w:rsidR="00A72CC3" w:rsidRDefault="00A72CC3" w:rsidP="00A72CC3">
            <w:pPr>
              <w:tabs>
                <w:tab w:val="left" w:pos="567"/>
              </w:tabs>
              <w:bidi w:val="0"/>
              <w:rPr>
                <w:rFonts w:cs="Times New Roman"/>
                <w:szCs w:val="20"/>
                <w:u w:val="single"/>
                <w:lang w:val="en-GB" w:bidi="ar-SA"/>
              </w:rPr>
            </w:pPr>
          </w:p>
          <w:p w:rsidR="00A72CC3" w:rsidRDefault="00A72CC3" w:rsidP="00A72CC3">
            <w:pPr>
              <w:tabs>
                <w:tab w:val="left" w:pos="567"/>
              </w:tabs>
              <w:bidi w:val="0"/>
              <w:rPr>
                <w:rFonts w:cs="Times New Roman"/>
                <w:szCs w:val="20"/>
                <w:u w:val="single"/>
                <w:lang w:val="en-GB" w:bidi="ar-SA"/>
              </w:rPr>
            </w:pPr>
          </w:p>
          <w:p w:rsidR="00A72CC3" w:rsidRDefault="00A72CC3" w:rsidP="00A72CC3">
            <w:pPr>
              <w:tabs>
                <w:tab w:val="left" w:pos="567"/>
              </w:tabs>
              <w:bidi w:val="0"/>
              <w:rPr>
                <w:rFonts w:cs="Times New Roman"/>
                <w:szCs w:val="20"/>
                <w:u w:val="single"/>
                <w:lang w:val="en-GB" w:bidi="ar-SA"/>
              </w:rPr>
            </w:pPr>
          </w:p>
          <w:p w:rsidR="002606C1" w:rsidRPr="00560134" w:rsidRDefault="002606C1" w:rsidP="00A72CC3">
            <w:pPr>
              <w:tabs>
                <w:tab w:val="left" w:pos="567"/>
              </w:tabs>
              <w:bidi w:val="0"/>
              <w:rPr>
                <w:rFonts w:cs="Times New Roman"/>
                <w:szCs w:val="20"/>
                <w:lang w:val="en-GB" w:bidi="ar-SA"/>
              </w:rPr>
            </w:pPr>
            <w:r w:rsidRPr="00560134">
              <w:rPr>
                <w:rFonts w:cs="Times New Roman"/>
                <w:szCs w:val="20"/>
                <w:u w:val="single"/>
                <w:lang w:val="en-GB" w:bidi="ar-SA"/>
              </w:rPr>
              <w:t>Patients with hepatic impairment</w:t>
            </w:r>
            <w:r w:rsidRPr="00560134">
              <w:rPr>
                <w:rFonts w:cs="Times New Roman"/>
                <w:szCs w:val="20"/>
                <w:lang w:val="en-GB" w:bidi="ar-SA"/>
              </w:rPr>
              <w:t>:</w:t>
            </w:r>
          </w:p>
          <w:p w:rsidR="002606C1" w:rsidRPr="002606C1" w:rsidRDefault="002606C1" w:rsidP="00A72CC3">
            <w:pPr>
              <w:jc w:val="right"/>
              <w:rPr>
                <w:rFonts w:cs="Times New Roman"/>
                <w:b/>
                <w:bCs/>
                <w:lang w:val="en-GB"/>
              </w:rPr>
            </w:pPr>
            <w:r w:rsidRPr="00560134">
              <w:rPr>
                <w:rFonts w:cs="Times New Roman"/>
                <w:szCs w:val="20"/>
                <w:lang w:val="en-GB" w:bidi="ar-SA"/>
              </w:rPr>
              <w:t>Since limited data are available across all hepatic impairment groups, caution is advised in the use of TRISENOX in patients with hepatic impairment. The experience in patients with severe hepatic impairment is insufficient to determine if dose adjustment is required</w:t>
            </w:r>
            <w:r>
              <w:rPr>
                <w:rFonts w:cs="Times New Roman"/>
                <w:szCs w:val="20"/>
                <w:lang w:val="en-GB" w:bidi="ar-SA"/>
              </w:rPr>
              <w:t>. In patients with mild to moderate hepatic impai</w:t>
            </w:r>
            <w:r w:rsidR="00A72CC3">
              <w:rPr>
                <w:rFonts w:cs="Times New Roman"/>
                <w:szCs w:val="20"/>
                <w:lang w:val="en-GB" w:bidi="ar-SA"/>
              </w:rPr>
              <w:t>r</w:t>
            </w:r>
            <w:r>
              <w:rPr>
                <w:rFonts w:cs="Times New Roman"/>
                <w:szCs w:val="20"/>
                <w:lang w:val="en-GB" w:bidi="ar-SA"/>
              </w:rPr>
              <w:t>ment, dose adjustment should not be necessary.</w:t>
            </w:r>
          </w:p>
        </w:tc>
        <w:tc>
          <w:tcPr>
            <w:tcW w:w="4252" w:type="dxa"/>
            <w:tcBorders>
              <w:top w:val="single" w:sz="4" w:space="0" w:color="auto"/>
              <w:bottom w:val="single" w:sz="4" w:space="0" w:color="auto"/>
              <w:right w:val="single" w:sz="4" w:space="0" w:color="auto"/>
            </w:tcBorders>
          </w:tcPr>
          <w:p w:rsidR="00151352" w:rsidRDefault="00A555AE" w:rsidP="007E6194">
            <w:pPr>
              <w:jc w:val="right"/>
              <w:rPr>
                <w:rFonts w:cs="Times New Roman"/>
                <w:szCs w:val="20"/>
                <w:lang w:val="en-GB" w:bidi="ar-SA"/>
              </w:rPr>
            </w:pPr>
            <w:r w:rsidRPr="00560134">
              <w:rPr>
                <w:rFonts w:cs="Times New Roman"/>
                <w:szCs w:val="20"/>
                <w:u w:val="single"/>
                <w:lang w:val="en-GB" w:bidi="ar-SA"/>
              </w:rPr>
              <w:lastRenderedPageBreak/>
              <w:t>Leukocyte Activation Syndrome (APL Differentiation Syndrome)</w:t>
            </w:r>
            <w:r w:rsidRPr="00560134">
              <w:rPr>
                <w:rFonts w:cs="Times New Roman"/>
                <w:szCs w:val="20"/>
                <w:lang w:val="en-GB" w:bidi="ar-SA"/>
              </w:rPr>
              <w:t>:</w:t>
            </w:r>
            <w:r w:rsidRPr="00560134">
              <w:rPr>
                <w:rFonts w:cs="Times New Roman"/>
                <w:b/>
                <w:szCs w:val="20"/>
                <w:lang w:val="en-GB" w:bidi="ar-SA"/>
              </w:rPr>
              <w:t xml:space="preserve"> </w:t>
            </w:r>
            <w:r w:rsidR="007E6194" w:rsidRPr="00A555AE">
              <w:rPr>
                <w:rFonts w:cs="Times New Roman"/>
                <w:strike/>
                <w:szCs w:val="20"/>
                <w:highlight w:val="yellow"/>
              </w:rPr>
              <w:t>twenty</w:t>
            </w:r>
            <w:r w:rsidRPr="00A555AE">
              <w:rPr>
                <w:rFonts w:cs="Times New Roman"/>
                <w:strike/>
                <w:szCs w:val="20"/>
                <w:highlight w:val="yellow"/>
              </w:rPr>
              <w:t xml:space="preserve"> five percent</w:t>
            </w:r>
            <w:r w:rsidRPr="00560134">
              <w:rPr>
                <w:rFonts w:cs="Times New Roman"/>
                <w:szCs w:val="20"/>
                <w:lang w:val="en-GB" w:bidi="ar-SA"/>
              </w:rPr>
              <w:t xml:space="preserve"> </w:t>
            </w:r>
            <w:r w:rsidRPr="00A555AE">
              <w:rPr>
                <w:rFonts w:cs="Times New Roman"/>
                <w:szCs w:val="20"/>
                <w:highlight w:val="yellow"/>
                <w:lang w:val="en-GB" w:bidi="ar-SA"/>
              </w:rPr>
              <w:t>27%</w:t>
            </w:r>
            <w:r w:rsidRPr="00560134">
              <w:rPr>
                <w:rFonts w:cs="Times New Roman"/>
                <w:szCs w:val="20"/>
                <w:lang w:val="en-GB" w:bidi="ar-SA"/>
              </w:rPr>
              <w:t xml:space="preserve"> of patients with APL treated with TRISENOX have experienced symptoms similar to a syndrome called the retinoic-acid-acute </w:t>
            </w:r>
            <w:proofErr w:type="spellStart"/>
            <w:r w:rsidRPr="00560134">
              <w:rPr>
                <w:rFonts w:cs="Times New Roman"/>
                <w:szCs w:val="20"/>
                <w:lang w:val="en-GB" w:bidi="ar-SA"/>
              </w:rPr>
              <w:t>promyelocytic</w:t>
            </w:r>
            <w:proofErr w:type="spellEnd"/>
            <w:r w:rsidRPr="00560134">
              <w:rPr>
                <w:rFonts w:cs="Times New Roman"/>
                <w:szCs w:val="20"/>
                <w:lang w:val="en-GB" w:bidi="ar-SA"/>
              </w:rPr>
              <w:t xml:space="preserve"> leukaemia (RA-APL) or APL differentiation syndrome, characterised by fever, dyspnoea, weight gain, pulmonary infiltrates and pleural or pericardial effusions, with or without </w:t>
            </w:r>
            <w:proofErr w:type="spellStart"/>
            <w:r w:rsidRPr="00560134">
              <w:rPr>
                <w:rFonts w:cs="Times New Roman"/>
                <w:szCs w:val="20"/>
                <w:lang w:val="en-GB" w:bidi="ar-SA"/>
              </w:rPr>
              <w:t>leukocytosis</w:t>
            </w:r>
            <w:proofErr w:type="spellEnd"/>
            <w:r w:rsidRPr="00560134">
              <w:rPr>
                <w:rFonts w:cs="Times New Roman"/>
                <w:szCs w:val="20"/>
                <w:lang w:val="en-GB" w:bidi="ar-SA"/>
              </w:rPr>
              <w:t>.</w:t>
            </w:r>
          </w:p>
          <w:p w:rsidR="00CB7E96" w:rsidRDefault="00CB7E96" w:rsidP="00EA6FC5">
            <w:pPr>
              <w:jc w:val="right"/>
              <w:rPr>
                <w:rFonts w:cs="Times New Roman"/>
                <w:b/>
                <w:bCs/>
                <w:lang w:val="en-GB"/>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u w:val="single"/>
                <w:lang w:val="en-GB" w:eastAsia="en-US" w:bidi="ar-SA"/>
              </w:rPr>
              <w:t>Dose delay and modification</w:t>
            </w:r>
            <w:r w:rsidRPr="00CB7E96">
              <w:rPr>
                <w:rFonts w:cs="Times New Roman"/>
                <w:sz w:val="22"/>
                <w:szCs w:val="20"/>
                <w:lang w:val="en-GB" w:eastAsia="en-US" w:bidi="ar-SA"/>
              </w:rPr>
              <w:t xml:space="preserve">: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Treatment with TRISENOX must be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interrupted, adjusted, or discontinued before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the scheduled end of therapy at any time that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a toxicity grade 3 or greater on the National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Cancer Institute Common Toxicity Criteria is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lang w:val="en-GB" w:eastAsia="en-US" w:bidi="ar-SA"/>
              </w:rPr>
            </w:pPr>
            <w:r w:rsidRPr="00CB7E96">
              <w:rPr>
                <w:rFonts w:cs="Times New Roman"/>
                <w:sz w:val="22"/>
                <w:szCs w:val="20"/>
                <w:lang w:val="en-GB" w:eastAsia="en-US" w:bidi="ar-SA"/>
              </w:rPr>
              <w:t xml:space="preserve">observed and judged to be possibly related to </w:t>
            </w:r>
          </w:p>
          <w:p w:rsidR="00CB7E96" w:rsidRDefault="00CB7E96" w:rsidP="00CB7E96">
            <w:pPr>
              <w:tabs>
                <w:tab w:val="left" w:pos="567"/>
              </w:tabs>
              <w:bidi w:val="0"/>
              <w:rPr>
                <w:rFonts w:cs="Times New Roman"/>
                <w:szCs w:val="20"/>
                <w:lang w:val="en-GB" w:eastAsia="en-US" w:bidi="ar-SA"/>
              </w:rPr>
            </w:pPr>
          </w:p>
          <w:p w:rsidR="00CB7E96" w:rsidRDefault="00CB7E96" w:rsidP="00CB7E96">
            <w:pPr>
              <w:tabs>
                <w:tab w:val="left" w:pos="567"/>
              </w:tabs>
              <w:bidi w:val="0"/>
              <w:rPr>
                <w:rFonts w:cs="Times New Roman"/>
                <w:szCs w:val="20"/>
                <w:highlight w:val="yellow"/>
                <w:lang w:eastAsia="en-US" w:bidi="ar-SA"/>
              </w:rPr>
            </w:pPr>
            <w:r w:rsidRPr="00CB7E96">
              <w:rPr>
                <w:rFonts w:cs="Times New Roman"/>
                <w:sz w:val="22"/>
                <w:szCs w:val="20"/>
                <w:lang w:val="en-GB" w:eastAsia="en-US" w:bidi="ar-SA"/>
              </w:rPr>
              <w:t xml:space="preserve">TRISENOX treatment. </w:t>
            </w:r>
          </w:p>
          <w:p w:rsidR="00CB7E96" w:rsidRDefault="00CB7E96" w:rsidP="00CB7E96">
            <w:pPr>
              <w:tabs>
                <w:tab w:val="left" w:pos="567"/>
              </w:tabs>
              <w:bidi w:val="0"/>
              <w:rPr>
                <w:rFonts w:cs="Times New Roman"/>
                <w:szCs w:val="20"/>
                <w:highlight w:val="yellow"/>
                <w:lang w:val="en-GB" w:eastAsia="en-US" w:bidi="ar-SA"/>
              </w:rPr>
            </w:pPr>
          </w:p>
          <w:p w:rsidR="00CB7E96" w:rsidRPr="00CB7E96" w:rsidRDefault="00CB7E96" w:rsidP="00EB5895">
            <w:pPr>
              <w:autoSpaceDE w:val="0"/>
              <w:autoSpaceDN w:val="0"/>
              <w:bidi w:val="0"/>
              <w:adjustRightInd w:val="0"/>
              <w:spacing w:line="360" w:lineRule="auto"/>
              <w:rPr>
                <w:rFonts w:cs="Times New Roman"/>
                <w:strike/>
                <w:szCs w:val="20"/>
                <w:lang w:val="en-GB" w:bidi="ar-SA"/>
              </w:rPr>
            </w:pPr>
            <w:r w:rsidRPr="00CB7E96">
              <w:rPr>
                <w:rFonts w:cs="Times New Roman"/>
                <w:strike/>
                <w:szCs w:val="20"/>
                <w:highlight w:val="yellow"/>
                <w:lang w:val="en-GB" w:bidi="ar-SA"/>
              </w:rPr>
              <w:t xml:space="preserve">Patients who experience such reactions that are considered TRISENOX related must resume treatment only after resolution of the toxic event or after recovery to baseline status of the abnormality that </w:t>
            </w:r>
            <w:proofErr w:type="gramStart"/>
            <w:r w:rsidRPr="00CB7E96">
              <w:rPr>
                <w:rFonts w:cs="Times New Roman"/>
                <w:strike/>
                <w:szCs w:val="20"/>
                <w:highlight w:val="yellow"/>
                <w:lang w:val="en-GB" w:bidi="ar-SA"/>
              </w:rPr>
              <w:t>prompted  the</w:t>
            </w:r>
            <w:proofErr w:type="gramEnd"/>
            <w:r w:rsidRPr="00CB7E96">
              <w:rPr>
                <w:rFonts w:cs="Times New Roman"/>
                <w:strike/>
                <w:szCs w:val="20"/>
                <w:highlight w:val="yellow"/>
                <w:lang w:val="en-GB" w:bidi="ar-SA"/>
              </w:rPr>
              <w:t xml:space="preserve"> interruption. In such cases, treatment </w:t>
            </w:r>
            <w:r w:rsidRPr="00CB7E96">
              <w:rPr>
                <w:rFonts w:cs="Times New Roman"/>
                <w:strike/>
                <w:szCs w:val="20"/>
                <w:highlight w:val="yellow"/>
                <w:lang w:val="en-GB" w:bidi="ar-SA"/>
              </w:rPr>
              <w:lastRenderedPageBreak/>
              <w:t>must resume at 50% of the preceding daily dose. If the toxic event does not recur within 3 days of restarting</w:t>
            </w:r>
            <w:r w:rsidR="006D00E4">
              <w:rPr>
                <w:rFonts w:cs="Times New Roman"/>
                <w:strike/>
                <w:szCs w:val="20"/>
                <w:highlight w:val="yellow"/>
                <w:lang w:val="en-GB" w:bidi="ar-SA"/>
              </w:rPr>
              <w:t xml:space="preserve"> </w:t>
            </w:r>
            <w:r w:rsidRPr="00CB7E96">
              <w:rPr>
                <w:rFonts w:cs="Times New Roman"/>
                <w:strike/>
                <w:szCs w:val="20"/>
                <w:highlight w:val="yellow"/>
                <w:lang w:val="en-GB" w:bidi="ar-SA"/>
              </w:rPr>
              <w:t xml:space="preserve">treatment at the reduced dose, the daily dose can </w:t>
            </w:r>
            <w:proofErr w:type="gramStart"/>
            <w:r w:rsidRPr="00CB7E96">
              <w:rPr>
                <w:rFonts w:cs="Times New Roman"/>
                <w:strike/>
                <w:szCs w:val="20"/>
                <w:highlight w:val="yellow"/>
                <w:lang w:val="en-GB" w:bidi="ar-SA"/>
              </w:rPr>
              <w:t>be  escalated</w:t>
            </w:r>
            <w:proofErr w:type="gramEnd"/>
            <w:r w:rsidRPr="00CB7E96">
              <w:rPr>
                <w:rFonts w:cs="Times New Roman"/>
                <w:strike/>
                <w:szCs w:val="20"/>
                <w:highlight w:val="yellow"/>
                <w:lang w:val="en-GB" w:bidi="ar-SA"/>
              </w:rPr>
              <w:t xml:space="preserve"> back to 100% of the original dose. Patients who </w:t>
            </w:r>
            <w:proofErr w:type="spellStart"/>
            <w:r w:rsidRPr="00CB7E96">
              <w:rPr>
                <w:rFonts w:cs="Times New Roman"/>
                <w:strike/>
                <w:szCs w:val="20"/>
                <w:highlight w:val="yellow"/>
                <w:lang w:val="en-GB" w:bidi="ar-SA"/>
              </w:rPr>
              <w:t>xperience</w:t>
            </w:r>
            <w:proofErr w:type="spellEnd"/>
            <w:r w:rsidRPr="00CB7E96">
              <w:rPr>
                <w:rFonts w:cs="Times New Roman"/>
                <w:strike/>
                <w:szCs w:val="20"/>
                <w:highlight w:val="yellow"/>
                <w:lang w:val="en-GB" w:bidi="ar-SA"/>
              </w:rPr>
              <w:t xml:space="preserve"> a recurrence of toxicity must be removed from treatment.</w:t>
            </w:r>
          </w:p>
          <w:p w:rsidR="00CB7E96" w:rsidRPr="00CB7E96" w:rsidRDefault="00CB7E96" w:rsidP="00CB7E96">
            <w:pPr>
              <w:tabs>
                <w:tab w:val="left" w:pos="567"/>
              </w:tabs>
              <w:bidi w:val="0"/>
              <w:rPr>
                <w:rFonts w:cs="Times New Roman"/>
                <w:szCs w:val="20"/>
                <w:lang w:val="en-GB" w:eastAsia="en-US" w:bidi="ar-SA"/>
              </w:rPr>
            </w:pPr>
            <w:r w:rsidRPr="00CB7E96">
              <w:rPr>
                <w:rFonts w:cs="Times New Roman"/>
                <w:sz w:val="22"/>
                <w:szCs w:val="20"/>
                <w:highlight w:val="yellow"/>
                <w:lang w:val="en-GB" w:eastAsia="en-US" w:bidi="ar-SA"/>
              </w:rPr>
              <w:t>(see section 4.2)</w:t>
            </w:r>
          </w:p>
          <w:p w:rsidR="00CB7E96" w:rsidRDefault="00CB7E96" w:rsidP="00EA6FC5">
            <w:pPr>
              <w:jc w:val="right"/>
              <w:rPr>
                <w:rFonts w:cs="Times New Roman"/>
                <w:b/>
                <w:bCs/>
                <w:rtl/>
                <w:lang w:val="en-GB"/>
              </w:rPr>
            </w:pPr>
          </w:p>
          <w:p w:rsidR="002606C1" w:rsidRPr="00560134" w:rsidRDefault="002606C1" w:rsidP="002606C1">
            <w:pPr>
              <w:tabs>
                <w:tab w:val="left" w:pos="567"/>
              </w:tabs>
              <w:bidi w:val="0"/>
              <w:rPr>
                <w:rFonts w:cs="Times New Roman"/>
                <w:szCs w:val="20"/>
                <w:lang w:val="en-GB" w:bidi="ar-SA"/>
              </w:rPr>
            </w:pPr>
            <w:r w:rsidRPr="00560134">
              <w:rPr>
                <w:rFonts w:cs="Times New Roman"/>
                <w:szCs w:val="20"/>
                <w:u w:val="single"/>
                <w:lang w:val="en-GB" w:bidi="ar-SA"/>
              </w:rPr>
              <w:t>Patients with renal impairment</w:t>
            </w:r>
            <w:r w:rsidRPr="00560134">
              <w:rPr>
                <w:rFonts w:cs="Times New Roman"/>
                <w:szCs w:val="20"/>
                <w:lang w:val="en-GB" w:bidi="ar-SA"/>
              </w:rPr>
              <w:t xml:space="preserve">: </w:t>
            </w:r>
          </w:p>
          <w:p w:rsidR="00A72CC3" w:rsidRDefault="002606C1" w:rsidP="002606C1">
            <w:pPr>
              <w:tabs>
                <w:tab w:val="left" w:pos="567"/>
              </w:tabs>
              <w:bidi w:val="0"/>
              <w:rPr>
                <w:rFonts w:cs="Times New Roman"/>
                <w:szCs w:val="20"/>
                <w:lang w:bidi="ar-SA"/>
              </w:rPr>
            </w:pPr>
            <w:r w:rsidRPr="00A72CC3">
              <w:rPr>
                <w:rFonts w:cs="Times New Roman"/>
                <w:szCs w:val="20"/>
                <w:highlight w:val="yellow"/>
                <w:lang w:val="en-GB" w:bidi="ar-SA"/>
              </w:rPr>
              <w:t>Since limited data are available across all renal impairment groups,</w:t>
            </w:r>
            <w:r w:rsidRPr="00560134">
              <w:rPr>
                <w:rFonts w:cs="Times New Roman"/>
                <w:szCs w:val="20"/>
                <w:lang w:val="en-GB" w:bidi="ar-SA"/>
              </w:rPr>
              <w:t xml:space="preserve"> caution is advised in the use of TRISENOX in patients with renal impairment. </w:t>
            </w:r>
          </w:p>
          <w:p w:rsidR="00A72CC3" w:rsidRDefault="00A72CC3" w:rsidP="00A72CC3">
            <w:pPr>
              <w:tabs>
                <w:tab w:val="left" w:pos="567"/>
              </w:tabs>
              <w:bidi w:val="0"/>
              <w:rPr>
                <w:rFonts w:cs="Times New Roman"/>
                <w:szCs w:val="20"/>
                <w:lang w:bidi="ar-SA"/>
              </w:rPr>
            </w:pPr>
            <w:r w:rsidRPr="00A72CC3">
              <w:rPr>
                <w:rFonts w:cs="Times New Roman"/>
                <w:strike/>
                <w:szCs w:val="20"/>
                <w:highlight w:val="yellow"/>
                <w:lang w:val="en-GB" w:bidi="ar-SA"/>
              </w:rPr>
              <w:t>In patients with severe renal impairment (</w:t>
            </w:r>
            <w:proofErr w:type="spellStart"/>
            <w:r w:rsidRPr="00A72CC3">
              <w:rPr>
                <w:rFonts w:cs="Times New Roman"/>
                <w:strike/>
                <w:szCs w:val="20"/>
                <w:highlight w:val="yellow"/>
                <w:lang w:val="en-GB" w:bidi="ar-SA"/>
              </w:rPr>
              <w:t>creatinine</w:t>
            </w:r>
            <w:proofErr w:type="spellEnd"/>
            <w:r w:rsidRPr="00A72CC3">
              <w:rPr>
                <w:rFonts w:cs="Times New Roman"/>
                <w:strike/>
                <w:szCs w:val="20"/>
                <w:highlight w:val="yellow"/>
                <w:lang w:val="en-GB" w:bidi="ar-SA"/>
              </w:rPr>
              <w:t xml:space="preserve"> clearance less than 30 mL/min), a dose reduction should be considered. The use of arsenic trioxide in patients on dialysis has not been studied</w:t>
            </w:r>
            <w:r>
              <w:rPr>
                <w:rFonts w:cs="Times New Roman"/>
                <w:strike/>
                <w:szCs w:val="20"/>
                <w:lang w:val="en-GB" w:bidi="ar-SA"/>
              </w:rPr>
              <w:t>.</w:t>
            </w:r>
          </w:p>
          <w:p w:rsidR="002606C1" w:rsidRPr="00A72CC3" w:rsidRDefault="002606C1" w:rsidP="00A72CC3">
            <w:pPr>
              <w:tabs>
                <w:tab w:val="left" w:pos="567"/>
              </w:tabs>
              <w:bidi w:val="0"/>
              <w:rPr>
                <w:rFonts w:cs="Times New Roman"/>
                <w:szCs w:val="20"/>
                <w:highlight w:val="yellow"/>
                <w:lang w:val="en-GB" w:bidi="ar-SA"/>
              </w:rPr>
            </w:pPr>
            <w:r w:rsidRPr="00A72CC3">
              <w:rPr>
                <w:rFonts w:cs="Times New Roman"/>
                <w:szCs w:val="20"/>
                <w:highlight w:val="yellow"/>
                <w:lang w:val="en-GB" w:bidi="ar-SA"/>
              </w:rPr>
              <w:t>The experience in patients with severe</w:t>
            </w:r>
            <w:r w:rsidRPr="00A72CC3">
              <w:rPr>
                <w:rFonts w:cs="Times New Roman"/>
                <w:b/>
                <w:szCs w:val="20"/>
                <w:highlight w:val="yellow"/>
                <w:lang w:val="en-GB" w:bidi="ar-SA"/>
              </w:rPr>
              <w:t xml:space="preserve"> </w:t>
            </w:r>
            <w:r w:rsidRPr="00A72CC3">
              <w:rPr>
                <w:rFonts w:cs="Times New Roman"/>
                <w:szCs w:val="20"/>
                <w:highlight w:val="yellow"/>
                <w:lang w:val="en-GB" w:bidi="ar-SA"/>
              </w:rPr>
              <w:t>renal impairment is insufficient to determine if dose adjustment is required.</w:t>
            </w:r>
          </w:p>
          <w:p w:rsidR="002606C1" w:rsidRPr="00560134" w:rsidRDefault="002606C1" w:rsidP="002606C1">
            <w:pPr>
              <w:tabs>
                <w:tab w:val="left" w:pos="567"/>
              </w:tabs>
              <w:bidi w:val="0"/>
              <w:rPr>
                <w:rFonts w:cs="Times New Roman"/>
                <w:szCs w:val="20"/>
                <w:lang w:val="en-GB" w:bidi="ar-SA"/>
              </w:rPr>
            </w:pPr>
            <w:r w:rsidRPr="00F24F90">
              <w:rPr>
                <w:rFonts w:cs="Times New Roman"/>
                <w:szCs w:val="20"/>
                <w:lang w:val="en-GB" w:bidi="ar-SA"/>
              </w:rPr>
              <w:t>The use of TRISENOX in patients on dialysis has not been studied.</w:t>
            </w:r>
            <w:bookmarkStart w:id="0" w:name="_GoBack"/>
            <w:bookmarkEnd w:id="0"/>
            <w:r w:rsidRPr="00560134">
              <w:rPr>
                <w:rFonts w:cs="Times New Roman"/>
                <w:szCs w:val="20"/>
                <w:lang w:val="en-GB" w:bidi="ar-SA"/>
              </w:rPr>
              <w:t xml:space="preserve"> </w:t>
            </w:r>
          </w:p>
          <w:p w:rsidR="002606C1" w:rsidRPr="00560134" w:rsidRDefault="002606C1" w:rsidP="002606C1">
            <w:pPr>
              <w:tabs>
                <w:tab w:val="left" w:pos="567"/>
              </w:tabs>
              <w:bidi w:val="0"/>
              <w:rPr>
                <w:rFonts w:cs="Times New Roman"/>
                <w:szCs w:val="20"/>
                <w:lang w:val="en-GB" w:bidi="ar-SA"/>
              </w:rPr>
            </w:pPr>
          </w:p>
          <w:p w:rsidR="00A72CC3" w:rsidRDefault="00A72CC3" w:rsidP="002606C1">
            <w:pPr>
              <w:tabs>
                <w:tab w:val="left" w:pos="567"/>
              </w:tabs>
              <w:bidi w:val="0"/>
              <w:rPr>
                <w:rFonts w:cs="Times New Roman"/>
                <w:szCs w:val="20"/>
                <w:u w:val="single"/>
                <w:lang w:bidi="ar-SA"/>
              </w:rPr>
            </w:pPr>
          </w:p>
          <w:p w:rsidR="00A72CC3" w:rsidRDefault="00A72CC3" w:rsidP="00A72CC3">
            <w:pPr>
              <w:tabs>
                <w:tab w:val="left" w:pos="567"/>
              </w:tabs>
              <w:bidi w:val="0"/>
              <w:rPr>
                <w:rFonts w:cs="Times New Roman"/>
                <w:szCs w:val="20"/>
                <w:u w:val="single"/>
                <w:lang w:bidi="ar-SA"/>
              </w:rPr>
            </w:pPr>
          </w:p>
          <w:p w:rsidR="002606C1" w:rsidRPr="00560134" w:rsidRDefault="002606C1" w:rsidP="00A72CC3">
            <w:pPr>
              <w:tabs>
                <w:tab w:val="left" w:pos="567"/>
              </w:tabs>
              <w:bidi w:val="0"/>
              <w:rPr>
                <w:rFonts w:cs="Times New Roman"/>
                <w:szCs w:val="20"/>
                <w:lang w:val="en-GB" w:bidi="ar-SA"/>
              </w:rPr>
            </w:pPr>
            <w:r w:rsidRPr="00560134">
              <w:rPr>
                <w:rFonts w:cs="Times New Roman"/>
                <w:szCs w:val="20"/>
                <w:u w:val="single"/>
                <w:lang w:val="en-GB" w:bidi="ar-SA"/>
              </w:rPr>
              <w:t>Patients with hepatic impairment</w:t>
            </w:r>
            <w:r w:rsidRPr="00560134">
              <w:rPr>
                <w:rFonts w:cs="Times New Roman"/>
                <w:szCs w:val="20"/>
                <w:lang w:val="en-GB" w:bidi="ar-SA"/>
              </w:rPr>
              <w:t>:</w:t>
            </w:r>
          </w:p>
          <w:p w:rsidR="002606C1" w:rsidRPr="002606C1" w:rsidRDefault="002606C1" w:rsidP="00A72CC3">
            <w:pPr>
              <w:jc w:val="right"/>
              <w:rPr>
                <w:rFonts w:cs="Times New Roman"/>
                <w:b/>
                <w:bCs/>
                <w:lang w:val="en-GB"/>
              </w:rPr>
            </w:pPr>
            <w:r w:rsidRPr="00560134">
              <w:rPr>
                <w:rFonts w:cs="Times New Roman"/>
                <w:szCs w:val="20"/>
                <w:lang w:val="en-GB" w:bidi="ar-SA"/>
              </w:rPr>
              <w:t>Since limited data are available across all hepatic impairment groups, caution is advised in the use of TRISENOX in patients with hepatic impairment. The experience in patients with severe hepatic impairment is insufficient to determine if dose adjustment is required</w:t>
            </w:r>
            <w:r>
              <w:rPr>
                <w:rFonts w:cs="Times New Roman"/>
                <w:szCs w:val="20"/>
                <w:lang w:val="en-GB" w:bidi="ar-SA"/>
              </w:rPr>
              <w:t xml:space="preserve">. </w:t>
            </w:r>
            <w:r w:rsidRPr="002606C1">
              <w:rPr>
                <w:rFonts w:cs="Times New Roman"/>
                <w:strike/>
                <w:szCs w:val="20"/>
                <w:highlight w:val="yellow"/>
                <w:lang w:val="en-GB" w:bidi="ar-SA"/>
              </w:rPr>
              <w:t>In patients with mild to moderate hepatic imp</w:t>
            </w:r>
            <w:r w:rsidR="00A72CC3">
              <w:rPr>
                <w:rFonts w:cs="Times New Roman"/>
                <w:strike/>
                <w:szCs w:val="20"/>
                <w:highlight w:val="yellow"/>
                <w:lang w:val="en-GB" w:bidi="ar-SA"/>
              </w:rPr>
              <w:t>a</w:t>
            </w:r>
            <w:r w:rsidRPr="002606C1">
              <w:rPr>
                <w:rFonts w:cs="Times New Roman"/>
                <w:strike/>
                <w:szCs w:val="20"/>
                <w:highlight w:val="yellow"/>
                <w:lang w:val="en-GB" w:bidi="ar-SA"/>
              </w:rPr>
              <w:t>i</w:t>
            </w:r>
            <w:r w:rsidR="00A72CC3">
              <w:rPr>
                <w:rFonts w:cs="Times New Roman"/>
                <w:strike/>
                <w:szCs w:val="20"/>
                <w:highlight w:val="yellow"/>
                <w:lang w:val="en-GB" w:bidi="ar-SA"/>
              </w:rPr>
              <w:t>r</w:t>
            </w:r>
            <w:r w:rsidRPr="002606C1">
              <w:rPr>
                <w:rFonts w:cs="Times New Roman"/>
                <w:strike/>
                <w:szCs w:val="20"/>
                <w:highlight w:val="yellow"/>
                <w:lang w:val="en-GB" w:bidi="ar-SA"/>
              </w:rPr>
              <w:t>ment, dose adjustment should not be necessary.</w:t>
            </w:r>
          </w:p>
        </w:tc>
      </w:tr>
      <w:tr w:rsidR="00151352" w:rsidRPr="000E5AEB" w:rsidTr="00EA6FC5">
        <w:trPr>
          <w:jc w:val="center"/>
        </w:trPr>
        <w:tc>
          <w:tcPr>
            <w:tcW w:w="1799" w:type="dxa"/>
            <w:tcBorders>
              <w:top w:val="single" w:sz="4" w:space="0" w:color="auto"/>
              <w:bottom w:val="single" w:sz="4" w:space="0" w:color="auto"/>
            </w:tcBorders>
          </w:tcPr>
          <w:p w:rsidR="00151352" w:rsidRPr="00AE020E" w:rsidRDefault="00151352" w:rsidP="00EA6FC5">
            <w:pPr>
              <w:jc w:val="center"/>
              <w:rPr>
                <w:rFonts w:cs="Times New Roman"/>
                <w:b/>
                <w:bCs/>
              </w:rPr>
            </w:pPr>
            <w:r>
              <w:rPr>
                <w:rFonts w:cs="Times New Roman"/>
                <w:b/>
                <w:bCs/>
                <w:sz w:val="22"/>
                <w:szCs w:val="22"/>
              </w:rPr>
              <w:lastRenderedPageBreak/>
              <w:t>4.6 Fertility, Pregnancy and lactation</w:t>
            </w:r>
          </w:p>
        </w:tc>
        <w:tc>
          <w:tcPr>
            <w:tcW w:w="4296" w:type="dxa"/>
            <w:tcBorders>
              <w:top w:val="single" w:sz="4" w:space="0" w:color="auto"/>
              <w:bottom w:val="single" w:sz="4" w:space="0" w:color="auto"/>
            </w:tcBorders>
          </w:tcPr>
          <w:p w:rsidR="00151352" w:rsidRPr="0012315E" w:rsidRDefault="00DE0A74" w:rsidP="00EA6FC5">
            <w:pPr>
              <w:jc w:val="right"/>
              <w:rPr>
                <w:rFonts w:cs="Times New Roman"/>
                <w:b/>
                <w:szCs w:val="20"/>
                <w:lang w:val="en-GB" w:eastAsia="en-US" w:bidi="ar-SA"/>
              </w:rPr>
            </w:pPr>
            <w:r w:rsidRPr="0012315E">
              <w:rPr>
                <w:rFonts w:cs="Times New Roman"/>
                <w:b/>
                <w:sz w:val="22"/>
                <w:szCs w:val="20"/>
                <w:lang w:val="en-GB" w:eastAsia="en-US" w:bidi="ar-SA"/>
              </w:rPr>
              <w:t>Pregnancy and lactation</w:t>
            </w:r>
          </w:p>
          <w:p w:rsidR="00DE0A74" w:rsidRDefault="00DE0A74" w:rsidP="00EA6FC5">
            <w:pPr>
              <w:jc w:val="right"/>
              <w:rPr>
                <w:rFonts w:cs="Times New Roman"/>
                <w:b/>
                <w:bCs/>
                <w:rtl/>
              </w:rPr>
            </w:pPr>
          </w:p>
          <w:p w:rsidR="0012315E" w:rsidRDefault="00B87E0E" w:rsidP="00EA6FC5">
            <w:pPr>
              <w:jc w:val="right"/>
              <w:rPr>
                <w:rFonts w:cs="Times New Roman"/>
                <w:b/>
                <w:bCs/>
              </w:rPr>
            </w:pPr>
            <w:r>
              <w:rPr>
                <w:rFonts w:cs="Times New Roman" w:hint="cs"/>
                <w:b/>
                <w:bCs/>
                <w:rtl/>
              </w:rPr>
              <w:t>שינוי מקום בסעיף</w:t>
            </w: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EA6FC5">
            <w:pPr>
              <w:jc w:val="right"/>
              <w:rPr>
                <w:rFonts w:cs="Times New Roman"/>
                <w:b/>
                <w:bCs/>
              </w:rPr>
            </w:pPr>
          </w:p>
          <w:p w:rsidR="0012315E" w:rsidRDefault="0012315E" w:rsidP="0012315E">
            <w:pPr>
              <w:tabs>
                <w:tab w:val="left" w:pos="567"/>
              </w:tabs>
              <w:bidi w:val="0"/>
              <w:rPr>
                <w:rFonts w:cs="Times New Roman"/>
                <w:szCs w:val="20"/>
                <w:lang w:val="en-GB" w:eastAsia="en-US" w:bidi="ar-SA"/>
              </w:rPr>
            </w:pPr>
            <w:r w:rsidRPr="00DE0A74">
              <w:rPr>
                <w:rFonts w:cs="Times New Roman"/>
                <w:sz w:val="22"/>
                <w:szCs w:val="20"/>
                <w:lang w:val="en-GB" w:eastAsia="en-US" w:bidi="ar-SA"/>
              </w:rPr>
              <w:t xml:space="preserve">Arsenic trioxide has been shown to be </w:t>
            </w:r>
            <w:proofErr w:type="spellStart"/>
            <w:r w:rsidRPr="00DE0A74">
              <w:rPr>
                <w:rFonts w:cs="Times New Roman"/>
                <w:sz w:val="22"/>
                <w:szCs w:val="20"/>
                <w:lang w:val="en-GB" w:eastAsia="en-US" w:bidi="ar-SA"/>
              </w:rPr>
              <w:t>embryotoxic</w:t>
            </w:r>
            <w:proofErr w:type="spellEnd"/>
            <w:r w:rsidRPr="00DE0A74">
              <w:rPr>
                <w:rFonts w:cs="Times New Roman"/>
                <w:sz w:val="22"/>
                <w:szCs w:val="20"/>
                <w:lang w:val="en-GB" w:eastAsia="en-US" w:bidi="ar-SA"/>
              </w:rPr>
              <w:t xml:space="preserve"> and </w:t>
            </w:r>
            <w:proofErr w:type="spellStart"/>
            <w:r w:rsidRPr="00DE0A74">
              <w:rPr>
                <w:rFonts w:cs="Times New Roman"/>
                <w:sz w:val="22"/>
                <w:szCs w:val="20"/>
                <w:lang w:val="en-GB" w:eastAsia="en-US" w:bidi="ar-SA"/>
              </w:rPr>
              <w:t>teratogenic</w:t>
            </w:r>
            <w:proofErr w:type="spellEnd"/>
            <w:r w:rsidRPr="00DE0A74">
              <w:rPr>
                <w:rFonts w:cs="Times New Roman"/>
                <w:sz w:val="22"/>
                <w:szCs w:val="20"/>
                <w:lang w:val="en-GB" w:eastAsia="en-US" w:bidi="ar-SA"/>
              </w:rPr>
              <w:t xml:space="preserve"> in animal studies (see 5.3). There are no studies in pregnant women using TRISENOX. </w:t>
            </w:r>
          </w:p>
          <w:p w:rsidR="0012315E" w:rsidRPr="00DE0A74" w:rsidRDefault="0012315E" w:rsidP="0012315E">
            <w:pPr>
              <w:tabs>
                <w:tab w:val="left" w:pos="567"/>
              </w:tabs>
              <w:bidi w:val="0"/>
              <w:rPr>
                <w:rFonts w:cs="Times New Roman"/>
                <w:szCs w:val="20"/>
                <w:lang w:val="en-GB" w:eastAsia="en-US" w:bidi="ar-SA"/>
              </w:rPr>
            </w:pPr>
            <w:r w:rsidRPr="00DE0A74">
              <w:rPr>
                <w:rFonts w:cs="Times New Roman"/>
                <w:sz w:val="22"/>
                <w:szCs w:val="20"/>
                <w:lang w:val="en-GB" w:eastAsia="en-US" w:bidi="ar-SA"/>
              </w:rPr>
              <w:t xml:space="preserve">If this medicinal product is used during pregnancy or if the patient becomes pregnant while taking this product, the patient must be informed of the potential harm to the foetus. </w:t>
            </w:r>
          </w:p>
          <w:p w:rsidR="004458A9" w:rsidRPr="00DE0A74" w:rsidRDefault="004458A9" w:rsidP="004458A9">
            <w:pPr>
              <w:tabs>
                <w:tab w:val="left" w:pos="567"/>
              </w:tabs>
              <w:bidi w:val="0"/>
              <w:rPr>
                <w:rFonts w:cs="Times New Roman"/>
                <w:szCs w:val="20"/>
                <w:lang w:val="en-GB" w:eastAsia="en-US" w:bidi="ar-SA"/>
              </w:rPr>
            </w:pPr>
            <w:r w:rsidRPr="00DE0A74">
              <w:rPr>
                <w:rFonts w:cs="Times New Roman"/>
                <w:sz w:val="22"/>
                <w:szCs w:val="20"/>
                <w:lang w:val="en-GB" w:eastAsia="en-US" w:bidi="ar-SA"/>
              </w:rPr>
              <w:t>Men and women of childbearing potential must use effective contraception during treatment with TRISENOX.</w:t>
            </w:r>
          </w:p>
          <w:p w:rsidR="004458A9" w:rsidRPr="00DE0A74" w:rsidRDefault="004458A9" w:rsidP="004458A9">
            <w:pPr>
              <w:tabs>
                <w:tab w:val="left" w:pos="567"/>
              </w:tabs>
              <w:bidi w:val="0"/>
              <w:rPr>
                <w:rFonts w:cs="Times New Roman"/>
                <w:szCs w:val="20"/>
                <w:lang w:val="en-GB" w:eastAsia="en-US" w:bidi="ar-SA"/>
              </w:rPr>
            </w:pPr>
          </w:p>
          <w:p w:rsidR="0012315E" w:rsidRDefault="0012315E" w:rsidP="0012315E">
            <w:pPr>
              <w:tabs>
                <w:tab w:val="left" w:pos="567"/>
              </w:tabs>
              <w:bidi w:val="0"/>
              <w:rPr>
                <w:rFonts w:cs="Times New Roman"/>
                <w:snapToGrid w:val="0"/>
                <w:szCs w:val="20"/>
                <w:lang w:val="en-GB" w:eastAsia="en-US" w:bidi="ar-SA"/>
              </w:rPr>
            </w:pPr>
          </w:p>
          <w:p w:rsidR="00AD09C7" w:rsidRDefault="00AD09C7" w:rsidP="0012315E">
            <w:pPr>
              <w:tabs>
                <w:tab w:val="left" w:pos="567"/>
              </w:tabs>
              <w:bidi w:val="0"/>
              <w:rPr>
                <w:rFonts w:cs="Times New Roman"/>
                <w:snapToGrid w:val="0"/>
                <w:szCs w:val="20"/>
                <w:lang w:val="en-GB" w:eastAsia="en-US" w:bidi="ar-SA"/>
              </w:rPr>
            </w:pPr>
          </w:p>
          <w:p w:rsidR="0012315E" w:rsidRPr="00DE0A74" w:rsidRDefault="0012315E" w:rsidP="00AD09C7">
            <w:pPr>
              <w:tabs>
                <w:tab w:val="left" w:pos="567"/>
              </w:tabs>
              <w:bidi w:val="0"/>
              <w:rPr>
                <w:rFonts w:cs="Times New Roman"/>
                <w:snapToGrid w:val="0"/>
                <w:szCs w:val="20"/>
                <w:lang w:val="en-GB" w:eastAsia="en-US" w:bidi="ar-SA"/>
              </w:rPr>
            </w:pPr>
            <w:r w:rsidRPr="00DE0A74">
              <w:rPr>
                <w:rFonts w:cs="Times New Roman"/>
                <w:snapToGrid w:val="0"/>
                <w:sz w:val="22"/>
                <w:szCs w:val="20"/>
                <w:lang w:val="en-GB" w:eastAsia="en-US" w:bidi="ar-SA"/>
              </w:rPr>
              <w:t xml:space="preserve">Arsenic is excreted in human milk. </w:t>
            </w:r>
            <w:r w:rsidRPr="00DE0A74">
              <w:rPr>
                <w:rFonts w:cs="Times New Roman"/>
                <w:sz w:val="22"/>
                <w:szCs w:val="20"/>
                <w:lang w:val="en-GB" w:eastAsia="en-US" w:bidi="ar-SA"/>
              </w:rPr>
              <w:t>Because of the potential for serious adverse reactions in nursing infants from TRISENOX, breastfeeding must be discontinued prior to and throughout administration.</w:t>
            </w:r>
            <w:r w:rsidRPr="00DE0A74">
              <w:rPr>
                <w:rFonts w:cs="Times New Roman"/>
                <w:snapToGrid w:val="0"/>
                <w:sz w:val="22"/>
                <w:szCs w:val="20"/>
                <w:lang w:val="en-GB" w:eastAsia="en-US" w:bidi="ar-SA"/>
              </w:rPr>
              <w:t xml:space="preserve"> </w:t>
            </w:r>
          </w:p>
          <w:p w:rsidR="00DE0A74" w:rsidRPr="00032104" w:rsidRDefault="00DE0A74" w:rsidP="0012315E">
            <w:pPr>
              <w:tabs>
                <w:tab w:val="left" w:pos="567"/>
              </w:tabs>
              <w:bidi w:val="0"/>
              <w:rPr>
                <w:rFonts w:cs="Times New Roman"/>
                <w:b/>
                <w:bCs/>
                <w:rtl/>
              </w:rPr>
            </w:pPr>
          </w:p>
        </w:tc>
        <w:tc>
          <w:tcPr>
            <w:tcW w:w="4252" w:type="dxa"/>
            <w:tcBorders>
              <w:top w:val="single" w:sz="4" w:space="0" w:color="auto"/>
              <w:bottom w:val="single" w:sz="4" w:space="0" w:color="auto"/>
              <w:right w:val="single" w:sz="4" w:space="0" w:color="auto"/>
            </w:tcBorders>
          </w:tcPr>
          <w:p w:rsidR="00DE0A74" w:rsidRPr="00DE0A74" w:rsidRDefault="00DE0A74" w:rsidP="00DE0A74">
            <w:pPr>
              <w:keepNext/>
              <w:numPr>
                <w:ilvl w:val="1"/>
                <w:numId w:val="0"/>
              </w:numPr>
              <w:tabs>
                <w:tab w:val="num" w:pos="576"/>
              </w:tabs>
              <w:bidi w:val="0"/>
              <w:ind w:left="576" w:hanging="576"/>
              <w:outlineLvl w:val="1"/>
              <w:rPr>
                <w:rFonts w:cs="Times New Roman"/>
                <w:b/>
                <w:szCs w:val="20"/>
                <w:lang w:val="en-GB" w:eastAsia="en-US" w:bidi="ar-SA"/>
              </w:rPr>
            </w:pPr>
            <w:r w:rsidRPr="00DE0A74">
              <w:rPr>
                <w:rFonts w:cs="Times New Roman"/>
                <w:b/>
                <w:sz w:val="22"/>
                <w:szCs w:val="20"/>
                <w:lang w:val="en-GB" w:eastAsia="en-US" w:bidi="ar-SA"/>
              </w:rPr>
              <w:lastRenderedPageBreak/>
              <w:t>Fertility, pregnancy and lactation</w:t>
            </w:r>
          </w:p>
          <w:p w:rsidR="00DE0A74" w:rsidRPr="00DE0A74" w:rsidRDefault="00DE0A74" w:rsidP="00DE0A74">
            <w:pPr>
              <w:tabs>
                <w:tab w:val="left" w:pos="567"/>
              </w:tabs>
              <w:bidi w:val="0"/>
              <w:rPr>
                <w:rFonts w:cs="Times New Roman"/>
                <w:szCs w:val="20"/>
                <w:lang w:val="en-GB" w:eastAsia="en-US" w:bidi="ar-SA"/>
              </w:rPr>
            </w:pPr>
          </w:p>
          <w:p w:rsidR="00DE0A74" w:rsidRPr="00DE0A74" w:rsidRDefault="00DE0A74" w:rsidP="00DE0A74">
            <w:pPr>
              <w:tabs>
                <w:tab w:val="left" w:pos="567"/>
              </w:tabs>
              <w:bidi w:val="0"/>
              <w:rPr>
                <w:rFonts w:cs="Times New Roman"/>
                <w:szCs w:val="20"/>
                <w:highlight w:val="yellow"/>
                <w:u w:val="single"/>
                <w:lang w:val="en-GB" w:eastAsia="en-US" w:bidi="ar-SA"/>
              </w:rPr>
            </w:pPr>
            <w:r w:rsidRPr="00DE0A74">
              <w:rPr>
                <w:rFonts w:cs="Times New Roman"/>
                <w:sz w:val="22"/>
                <w:szCs w:val="20"/>
                <w:highlight w:val="yellow"/>
                <w:u w:val="single"/>
                <w:lang w:val="en-GB" w:eastAsia="en-US" w:bidi="ar-SA"/>
              </w:rPr>
              <w:t>Contraception in males and females</w:t>
            </w:r>
          </w:p>
          <w:p w:rsidR="00DE0A74" w:rsidRPr="00DE0A74" w:rsidRDefault="00DE0A74" w:rsidP="00DE0A74">
            <w:pPr>
              <w:tabs>
                <w:tab w:val="left" w:pos="567"/>
              </w:tabs>
              <w:bidi w:val="0"/>
              <w:rPr>
                <w:rFonts w:cs="Times New Roman"/>
                <w:szCs w:val="20"/>
                <w:lang w:val="en-GB" w:eastAsia="en-US" w:bidi="ar-SA"/>
              </w:rPr>
            </w:pPr>
            <w:r w:rsidRPr="00DE0A74">
              <w:rPr>
                <w:rFonts w:cs="Times New Roman"/>
                <w:sz w:val="22"/>
                <w:szCs w:val="20"/>
                <w:highlight w:val="yellow"/>
                <w:lang w:val="en-GB" w:eastAsia="en-US" w:bidi="ar-SA"/>
              </w:rPr>
              <w:t>Men and women of childbearing potential must use effective contraception during treatment with TRISENOX.</w:t>
            </w:r>
          </w:p>
          <w:p w:rsidR="00DE0A74" w:rsidRPr="00DE0A74" w:rsidRDefault="00DE0A74" w:rsidP="00DE0A74">
            <w:pPr>
              <w:tabs>
                <w:tab w:val="left" w:pos="567"/>
              </w:tabs>
              <w:bidi w:val="0"/>
              <w:rPr>
                <w:rFonts w:cs="Times New Roman"/>
                <w:szCs w:val="20"/>
                <w:lang w:val="en-GB" w:eastAsia="en-US" w:bidi="ar-SA"/>
              </w:rPr>
            </w:pPr>
          </w:p>
          <w:p w:rsidR="0012315E" w:rsidRDefault="0012315E" w:rsidP="00DE0A74">
            <w:pPr>
              <w:tabs>
                <w:tab w:val="left" w:pos="567"/>
              </w:tabs>
              <w:bidi w:val="0"/>
              <w:rPr>
                <w:rFonts w:cs="Times New Roman"/>
                <w:szCs w:val="20"/>
                <w:u w:val="single"/>
                <w:lang w:val="en-GB" w:eastAsia="en-US" w:bidi="ar-SA"/>
              </w:rPr>
            </w:pPr>
          </w:p>
          <w:p w:rsidR="0012315E" w:rsidRDefault="0012315E" w:rsidP="0012315E">
            <w:pPr>
              <w:tabs>
                <w:tab w:val="left" w:pos="567"/>
              </w:tabs>
              <w:bidi w:val="0"/>
              <w:rPr>
                <w:rFonts w:cs="Times New Roman"/>
                <w:szCs w:val="20"/>
                <w:u w:val="single"/>
                <w:lang w:val="en-GB" w:eastAsia="en-US" w:bidi="ar-SA"/>
              </w:rPr>
            </w:pPr>
          </w:p>
          <w:p w:rsidR="0012315E" w:rsidRDefault="0012315E" w:rsidP="0012315E">
            <w:pPr>
              <w:tabs>
                <w:tab w:val="left" w:pos="567"/>
              </w:tabs>
              <w:bidi w:val="0"/>
              <w:rPr>
                <w:rFonts w:cs="Times New Roman"/>
                <w:szCs w:val="20"/>
                <w:u w:val="single"/>
                <w:lang w:val="en-GB" w:eastAsia="en-US" w:bidi="ar-SA"/>
              </w:rPr>
            </w:pPr>
          </w:p>
          <w:p w:rsidR="00DE0A74" w:rsidRPr="00DE0A74" w:rsidRDefault="00DE0A74" w:rsidP="0012315E">
            <w:pPr>
              <w:tabs>
                <w:tab w:val="left" w:pos="567"/>
              </w:tabs>
              <w:bidi w:val="0"/>
              <w:rPr>
                <w:rFonts w:cs="Times New Roman"/>
                <w:szCs w:val="20"/>
                <w:u w:val="single"/>
                <w:lang w:val="en-GB" w:eastAsia="en-US" w:bidi="ar-SA"/>
              </w:rPr>
            </w:pPr>
            <w:r w:rsidRPr="00DE0A74">
              <w:rPr>
                <w:rFonts w:cs="Times New Roman"/>
                <w:sz w:val="22"/>
                <w:szCs w:val="20"/>
                <w:highlight w:val="yellow"/>
                <w:u w:val="single"/>
                <w:lang w:val="en-GB" w:eastAsia="en-US" w:bidi="ar-SA"/>
              </w:rPr>
              <w:t>Pregnancy</w:t>
            </w:r>
          </w:p>
          <w:p w:rsidR="00DE0A74" w:rsidRPr="00DE0A74" w:rsidRDefault="00DE0A74" w:rsidP="00DE0A74">
            <w:pPr>
              <w:tabs>
                <w:tab w:val="left" w:pos="567"/>
              </w:tabs>
              <w:bidi w:val="0"/>
              <w:rPr>
                <w:rFonts w:cs="Times New Roman"/>
                <w:szCs w:val="20"/>
                <w:lang w:val="en-GB" w:eastAsia="en-US" w:bidi="ar-SA"/>
              </w:rPr>
            </w:pPr>
            <w:r w:rsidRPr="00DE0A74">
              <w:rPr>
                <w:rFonts w:cs="Times New Roman"/>
                <w:sz w:val="22"/>
                <w:szCs w:val="20"/>
                <w:lang w:val="en-GB" w:eastAsia="en-US" w:bidi="ar-SA"/>
              </w:rPr>
              <w:t xml:space="preserve">Arsenic trioxide has been shown to be </w:t>
            </w:r>
            <w:proofErr w:type="spellStart"/>
            <w:r w:rsidRPr="00DE0A74">
              <w:rPr>
                <w:rFonts w:cs="Times New Roman"/>
                <w:sz w:val="22"/>
                <w:szCs w:val="20"/>
                <w:lang w:val="en-GB" w:eastAsia="en-US" w:bidi="ar-SA"/>
              </w:rPr>
              <w:t>embryotoxic</w:t>
            </w:r>
            <w:proofErr w:type="spellEnd"/>
            <w:r w:rsidRPr="00DE0A74">
              <w:rPr>
                <w:rFonts w:cs="Times New Roman"/>
                <w:sz w:val="22"/>
                <w:szCs w:val="20"/>
                <w:lang w:val="en-GB" w:eastAsia="en-US" w:bidi="ar-SA"/>
              </w:rPr>
              <w:t xml:space="preserve"> and </w:t>
            </w:r>
            <w:proofErr w:type="spellStart"/>
            <w:r w:rsidRPr="00DE0A74">
              <w:rPr>
                <w:rFonts w:cs="Times New Roman"/>
                <w:sz w:val="22"/>
                <w:szCs w:val="20"/>
                <w:lang w:val="en-GB" w:eastAsia="en-US" w:bidi="ar-SA"/>
              </w:rPr>
              <w:t>teratogenic</w:t>
            </w:r>
            <w:proofErr w:type="spellEnd"/>
            <w:r w:rsidRPr="00DE0A74">
              <w:rPr>
                <w:rFonts w:cs="Times New Roman"/>
                <w:sz w:val="22"/>
                <w:szCs w:val="20"/>
                <w:lang w:val="en-GB" w:eastAsia="en-US" w:bidi="ar-SA"/>
              </w:rPr>
              <w:t xml:space="preserve"> in animal studies (see section 5.3). There are no studies in pregnant women using TRISENOX. If this medicinal product is used during pregnancy or if the patient becomes pregnant while taking this product, the patient must be informed of the potential harm to the foetus. </w:t>
            </w:r>
          </w:p>
          <w:p w:rsidR="004458A9" w:rsidRPr="00DE0A74" w:rsidRDefault="004458A9" w:rsidP="004458A9">
            <w:pPr>
              <w:tabs>
                <w:tab w:val="left" w:pos="567"/>
              </w:tabs>
              <w:bidi w:val="0"/>
              <w:rPr>
                <w:rFonts w:cs="Times New Roman"/>
                <w:strike/>
                <w:szCs w:val="20"/>
                <w:lang w:val="en-GB" w:eastAsia="en-US" w:bidi="ar-SA"/>
              </w:rPr>
            </w:pPr>
            <w:r w:rsidRPr="00DE0A74">
              <w:rPr>
                <w:rFonts w:cs="Times New Roman"/>
                <w:strike/>
                <w:sz w:val="22"/>
                <w:szCs w:val="20"/>
                <w:highlight w:val="yellow"/>
                <w:lang w:val="en-GB" w:eastAsia="en-US" w:bidi="ar-SA"/>
              </w:rPr>
              <w:t>Men and women of childbearing potential must use effective contraception during treatment with TRISENOX.</w:t>
            </w:r>
          </w:p>
          <w:p w:rsidR="00DE0A74" w:rsidRPr="00DE0A74" w:rsidRDefault="00DE0A74" w:rsidP="00DE0A74">
            <w:pPr>
              <w:tabs>
                <w:tab w:val="left" w:pos="567"/>
              </w:tabs>
              <w:bidi w:val="0"/>
              <w:rPr>
                <w:rFonts w:cs="Times New Roman"/>
                <w:szCs w:val="20"/>
                <w:lang w:val="en-GB" w:eastAsia="en-US" w:bidi="ar-SA"/>
              </w:rPr>
            </w:pPr>
          </w:p>
          <w:p w:rsidR="00946BCE" w:rsidRDefault="00946BCE" w:rsidP="004458A9">
            <w:pPr>
              <w:tabs>
                <w:tab w:val="left" w:pos="567"/>
              </w:tabs>
              <w:bidi w:val="0"/>
              <w:rPr>
                <w:rFonts w:cs="Times New Roman"/>
                <w:szCs w:val="20"/>
                <w:highlight w:val="yellow"/>
                <w:u w:val="single"/>
                <w:lang w:val="en-GB" w:eastAsia="en-US" w:bidi="ar-SA"/>
              </w:rPr>
            </w:pPr>
          </w:p>
          <w:p w:rsidR="00DE0A74" w:rsidRPr="00DE0A74" w:rsidRDefault="00DE0A74" w:rsidP="00946BCE">
            <w:pPr>
              <w:tabs>
                <w:tab w:val="left" w:pos="567"/>
              </w:tabs>
              <w:bidi w:val="0"/>
              <w:rPr>
                <w:rFonts w:cs="Times New Roman"/>
                <w:snapToGrid w:val="0"/>
                <w:szCs w:val="20"/>
                <w:lang w:val="en-GB" w:eastAsia="en-US" w:bidi="ar-SA"/>
              </w:rPr>
            </w:pPr>
            <w:r w:rsidRPr="00DE0A74">
              <w:rPr>
                <w:rFonts w:cs="Times New Roman"/>
                <w:sz w:val="22"/>
                <w:szCs w:val="20"/>
                <w:highlight w:val="yellow"/>
                <w:u w:val="single"/>
                <w:lang w:val="en-GB" w:eastAsia="en-US" w:bidi="ar-SA"/>
              </w:rPr>
              <w:t>Breastfeeding</w:t>
            </w:r>
          </w:p>
          <w:p w:rsidR="00DE0A74" w:rsidRPr="00DE0A74" w:rsidRDefault="00DE0A74" w:rsidP="00DE0A74">
            <w:pPr>
              <w:tabs>
                <w:tab w:val="left" w:pos="567"/>
              </w:tabs>
              <w:bidi w:val="0"/>
              <w:rPr>
                <w:rFonts w:cs="Times New Roman"/>
                <w:snapToGrid w:val="0"/>
                <w:szCs w:val="20"/>
                <w:lang w:val="en-GB" w:eastAsia="en-US" w:bidi="ar-SA"/>
              </w:rPr>
            </w:pPr>
            <w:r w:rsidRPr="00DE0A74">
              <w:rPr>
                <w:rFonts w:cs="Times New Roman"/>
                <w:snapToGrid w:val="0"/>
                <w:sz w:val="22"/>
                <w:szCs w:val="20"/>
                <w:lang w:val="en-GB" w:eastAsia="en-US" w:bidi="ar-SA"/>
              </w:rPr>
              <w:t xml:space="preserve">Arsenic is excreted in human milk. </w:t>
            </w:r>
            <w:r w:rsidRPr="00DE0A74">
              <w:rPr>
                <w:rFonts w:cs="Times New Roman"/>
                <w:sz w:val="22"/>
                <w:szCs w:val="20"/>
                <w:lang w:val="en-GB" w:eastAsia="en-US" w:bidi="ar-SA"/>
              </w:rPr>
              <w:t>Because of the potential for serious adverse reactions in nursing infants from TRISENOX, breastfeeding must be discontinued prior to and throughout administration.</w:t>
            </w:r>
            <w:r w:rsidRPr="00DE0A74">
              <w:rPr>
                <w:rFonts w:cs="Times New Roman"/>
                <w:snapToGrid w:val="0"/>
                <w:sz w:val="22"/>
                <w:szCs w:val="20"/>
                <w:lang w:val="en-GB" w:eastAsia="en-US" w:bidi="ar-SA"/>
              </w:rPr>
              <w:t xml:space="preserve"> </w:t>
            </w:r>
          </w:p>
          <w:p w:rsidR="00DE0A74" w:rsidRPr="00DE0A74" w:rsidRDefault="00DE0A74" w:rsidP="00DE0A74">
            <w:pPr>
              <w:tabs>
                <w:tab w:val="left" w:pos="567"/>
              </w:tabs>
              <w:bidi w:val="0"/>
              <w:rPr>
                <w:rFonts w:cs="Times New Roman"/>
                <w:szCs w:val="20"/>
                <w:lang w:val="en-GB" w:eastAsia="en-US" w:bidi="ar-SA"/>
              </w:rPr>
            </w:pPr>
          </w:p>
          <w:p w:rsidR="00DE0A74" w:rsidRPr="00DE0A74" w:rsidRDefault="00DE0A74" w:rsidP="00DE0A74">
            <w:pPr>
              <w:tabs>
                <w:tab w:val="left" w:pos="567"/>
              </w:tabs>
              <w:bidi w:val="0"/>
              <w:rPr>
                <w:rFonts w:cs="Times New Roman"/>
                <w:szCs w:val="20"/>
                <w:highlight w:val="yellow"/>
                <w:u w:val="single"/>
                <w:lang w:val="en-GB" w:eastAsia="en-US" w:bidi="ar-SA"/>
              </w:rPr>
            </w:pPr>
            <w:r w:rsidRPr="00DE0A74">
              <w:rPr>
                <w:rFonts w:cs="Times New Roman"/>
                <w:sz w:val="22"/>
                <w:szCs w:val="20"/>
                <w:highlight w:val="yellow"/>
                <w:u w:val="single"/>
                <w:lang w:val="en-GB" w:eastAsia="en-US" w:bidi="ar-SA"/>
              </w:rPr>
              <w:t>Fertility</w:t>
            </w:r>
          </w:p>
          <w:p w:rsidR="00DE0A74" w:rsidRPr="00DE0A74" w:rsidRDefault="00DE0A74" w:rsidP="00DE0A74">
            <w:pPr>
              <w:tabs>
                <w:tab w:val="left" w:pos="567"/>
              </w:tabs>
              <w:bidi w:val="0"/>
              <w:rPr>
                <w:rFonts w:cs="Times New Roman"/>
                <w:szCs w:val="20"/>
                <w:lang w:val="en-GB" w:eastAsia="en-US" w:bidi="ar-SA"/>
              </w:rPr>
            </w:pPr>
            <w:r w:rsidRPr="00DE0A74">
              <w:rPr>
                <w:rFonts w:cs="Times New Roman"/>
                <w:sz w:val="22"/>
                <w:szCs w:val="20"/>
                <w:highlight w:val="yellow"/>
                <w:lang w:val="en-GB" w:eastAsia="en-US" w:bidi="ar-SA"/>
              </w:rPr>
              <w:t>No clinical or non-clinical fertility studies have been conducted with TRISENOX.</w:t>
            </w:r>
          </w:p>
          <w:p w:rsidR="00151352" w:rsidRPr="00DE0A74" w:rsidRDefault="00151352" w:rsidP="00EA6FC5">
            <w:pPr>
              <w:jc w:val="right"/>
              <w:rPr>
                <w:rFonts w:cs="Times New Roman"/>
                <w:b/>
                <w:bCs/>
                <w:rtl/>
                <w:lang w:val="en-GB"/>
              </w:rPr>
            </w:pPr>
          </w:p>
        </w:tc>
      </w:tr>
      <w:tr w:rsidR="00151352" w:rsidRPr="000E5AEB" w:rsidTr="00EA6FC5">
        <w:trPr>
          <w:jc w:val="center"/>
        </w:trPr>
        <w:tc>
          <w:tcPr>
            <w:tcW w:w="1799" w:type="dxa"/>
            <w:tcBorders>
              <w:top w:val="single" w:sz="4" w:space="0" w:color="auto"/>
              <w:bottom w:val="single" w:sz="4" w:space="0" w:color="auto"/>
            </w:tcBorders>
          </w:tcPr>
          <w:p w:rsidR="00151352" w:rsidRPr="00137B88" w:rsidRDefault="00151352" w:rsidP="00EA6FC5">
            <w:pPr>
              <w:jc w:val="center"/>
              <w:rPr>
                <w:rFonts w:cs="Times New Roman"/>
                <w:b/>
                <w:bCs/>
                <w:rtl/>
              </w:rPr>
            </w:pPr>
            <w:r>
              <w:rPr>
                <w:rFonts w:cs="Times New Roman"/>
                <w:b/>
                <w:bCs/>
                <w:sz w:val="22"/>
                <w:szCs w:val="22"/>
              </w:rPr>
              <w:lastRenderedPageBreak/>
              <w:t>4.8 Undesirable effects</w:t>
            </w:r>
          </w:p>
        </w:tc>
        <w:tc>
          <w:tcPr>
            <w:tcW w:w="4296" w:type="dxa"/>
            <w:tcBorders>
              <w:top w:val="single" w:sz="4" w:space="0" w:color="auto"/>
              <w:bottom w:val="single" w:sz="4" w:space="0" w:color="auto"/>
            </w:tcBorders>
          </w:tcPr>
          <w:p w:rsidR="006D0DCD" w:rsidRDefault="00BD560D" w:rsidP="00EA6FC5">
            <w:pPr>
              <w:jc w:val="right"/>
            </w:pPr>
            <w:r w:rsidRPr="00430708">
              <w:rPr>
                <w:sz w:val="22"/>
                <w:lang w:val="en-GB"/>
              </w:rPr>
              <w:t>Related adverse reactions of CTC grade 3 and 4 occurred in 37% of patients in clinical trials. The most commonly reported reactions</w:t>
            </w:r>
            <w:r w:rsidRPr="00D17AE7">
              <w:rPr>
                <w:lang w:val="en-GB"/>
              </w:rPr>
              <w:t xml:space="preserve"> </w:t>
            </w:r>
            <w:r w:rsidRPr="00430708">
              <w:rPr>
                <w:sz w:val="22"/>
                <w:lang w:val="en-GB"/>
              </w:rPr>
              <w:t xml:space="preserve">were </w:t>
            </w:r>
            <w:r w:rsidRPr="00560134">
              <w:rPr>
                <w:rFonts w:cs="Times New Roman"/>
                <w:szCs w:val="20"/>
                <w:lang w:val="en-GB" w:bidi="ar-SA"/>
              </w:rPr>
              <w:t>hyperglycaemia, hypokalaemia</w:t>
            </w:r>
            <w:r w:rsidRPr="00430708">
              <w:rPr>
                <w:sz w:val="22"/>
                <w:lang w:val="en-GB"/>
              </w:rPr>
              <w:t xml:space="preserve">, neutropenia, and increased </w:t>
            </w:r>
            <w:proofErr w:type="spellStart"/>
            <w:r w:rsidRPr="00430708">
              <w:rPr>
                <w:sz w:val="22"/>
                <w:lang w:val="en-GB"/>
              </w:rPr>
              <w:t>alanine</w:t>
            </w:r>
            <w:proofErr w:type="spellEnd"/>
            <w:r w:rsidRPr="00430708">
              <w:rPr>
                <w:sz w:val="22"/>
                <w:lang w:val="en-GB"/>
              </w:rPr>
              <w:t xml:space="preserve"> amino </w:t>
            </w:r>
            <w:proofErr w:type="spellStart"/>
            <w:r w:rsidRPr="00430708">
              <w:rPr>
                <w:sz w:val="22"/>
                <w:lang w:val="en-GB"/>
              </w:rPr>
              <w:t>transferase</w:t>
            </w:r>
            <w:proofErr w:type="spellEnd"/>
            <w:r w:rsidRPr="00430708">
              <w:rPr>
                <w:sz w:val="22"/>
                <w:lang w:val="en-GB"/>
              </w:rPr>
              <w:t xml:space="preserve"> (ALT).</w:t>
            </w:r>
            <w:r w:rsidRPr="00560134">
              <w:rPr>
                <w:rFonts w:cs="Times New Roman"/>
                <w:szCs w:val="20"/>
                <w:lang w:val="en-GB" w:bidi="ar-SA"/>
              </w:rPr>
              <w:t xml:space="preserve"> </w:t>
            </w:r>
            <w:proofErr w:type="spellStart"/>
            <w:r w:rsidRPr="00560134">
              <w:rPr>
                <w:rFonts w:cs="Times New Roman"/>
                <w:szCs w:val="20"/>
                <w:lang w:val="en-GB" w:bidi="ar-SA"/>
              </w:rPr>
              <w:t>Leukocytosis</w:t>
            </w:r>
            <w:proofErr w:type="spellEnd"/>
            <w:r w:rsidRPr="00560134">
              <w:rPr>
                <w:rFonts w:cs="Times New Roman"/>
                <w:szCs w:val="20"/>
                <w:lang w:val="en-GB" w:bidi="ar-SA"/>
              </w:rPr>
              <w:t xml:space="preserve"> occurred in 50% of patients with APL, as determined by haematology assessments</w:t>
            </w:r>
            <w:r>
              <w:rPr>
                <w:lang w:val="en-GB"/>
              </w:rPr>
              <w:t>, rather than adverse events reports.</w:t>
            </w:r>
          </w:p>
          <w:p w:rsidR="00BD560D" w:rsidRDefault="00BD560D" w:rsidP="00EA6FC5">
            <w:pPr>
              <w:jc w:val="right"/>
            </w:pPr>
          </w:p>
          <w:p w:rsidR="00BD560D" w:rsidRDefault="00BD560D" w:rsidP="00EA6FC5">
            <w:pPr>
              <w:jc w:val="right"/>
            </w:pPr>
          </w:p>
          <w:p w:rsidR="00BD560D" w:rsidRPr="00BD560D" w:rsidRDefault="00BD560D" w:rsidP="00BD560D">
            <w:pPr>
              <w:bidi w:val="0"/>
              <w:spacing w:line="360" w:lineRule="auto"/>
              <w:ind w:left="103"/>
              <w:rPr>
                <w:rFonts w:cs="Times New Roman"/>
                <w:szCs w:val="20"/>
                <w:lang w:val="en-GB" w:bidi="ar-SA"/>
              </w:rPr>
            </w:pPr>
            <w:r w:rsidRPr="00BD560D">
              <w:rPr>
                <w:rFonts w:cs="Times New Roman"/>
                <w:szCs w:val="20"/>
                <w:lang w:val="en-GB" w:bidi="ar-SA"/>
              </w:rPr>
              <w:t>The table below lists the related grade 3 and 4 adverse drug reactions for the 107 patients treated with TRISENOX in clinical trials. (Frequencies defined as: common ≥1/100 to &lt;1/10, uncommon ≥ 1/1,000 to &lt; 1/100).</w:t>
            </w:r>
          </w:p>
          <w:p w:rsidR="00BD560D" w:rsidRDefault="00BD560D" w:rsidP="00EA6FC5">
            <w:pPr>
              <w:jc w:val="right"/>
              <w:rPr>
                <w:rtl/>
              </w:rPr>
            </w:pPr>
          </w:p>
          <w:p w:rsidR="00BD560D" w:rsidRDefault="00BD560D" w:rsidP="00EA6FC5">
            <w:pPr>
              <w:jc w:val="right"/>
            </w:pPr>
          </w:p>
          <w:p w:rsidR="00BD560D" w:rsidRDefault="00BD560D" w:rsidP="00EA6FC5">
            <w:pPr>
              <w:jc w:val="right"/>
            </w:pPr>
          </w:p>
          <w:p w:rsidR="00BD560D" w:rsidRPr="00B11375" w:rsidRDefault="00B11375" w:rsidP="00B11375">
            <w:pPr>
              <w:jc w:val="center"/>
              <w:rPr>
                <w:rFonts w:cs="Times New Roman"/>
                <w:b/>
                <w:bCs/>
                <w:lang w:eastAsia="en-US"/>
              </w:rPr>
            </w:pPr>
            <w:r w:rsidRPr="00B11375">
              <w:rPr>
                <w:rFonts w:cs="Times New Roman" w:hint="cs"/>
                <w:b/>
                <w:bCs/>
                <w:sz w:val="22"/>
                <w:szCs w:val="22"/>
                <w:rtl/>
                <w:lang w:eastAsia="en-US"/>
              </w:rPr>
              <w:lastRenderedPageBreak/>
              <w:t>לא קיים</w:t>
            </w:r>
          </w:p>
          <w:p w:rsidR="00BD560D" w:rsidRDefault="00BD560D" w:rsidP="00EA6FC5">
            <w:pPr>
              <w:jc w:val="right"/>
            </w:pPr>
          </w:p>
          <w:p w:rsidR="00BD560D" w:rsidRDefault="00BD560D" w:rsidP="00EA6FC5">
            <w:pPr>
              <w:jc w:val="right"/>
            </w:pPr>
          </w:p>
          <w:p w:rsidR="00BD560D" w:rsidRDefault="00BD560D" w:rsidP="00EA6FC5">
            <w:pPr>
              <w:jc w:val="right"/>
            </w:pPr>
          </w:p>
          <w:p w:rsidR="00BD560D" w:rsidRDefault="00BD560D" w:rsidP="00EA6FC5">
            <w:pPr>
              <w:jc w:val="right"/>
            </w:pPr>
          </w:p>
          <w:p w:rsidR="00BD560D" w:rsidRPr="00BD560D" w:rsidRDefault="00BD560D" w:rsidP="00EA6FC5">
            <w:pPr>
              <w:jc w:val="right"/>
              <w:rPr>
                <w:rFonts w:cs="Times New Roman"/>
                <w:b/>
                <w:bCs/>
                <w:rtl/>
              </w:rPr>
            </w:pPr>
          </w:p>
        </w:tc>
        <w:tc>
          <w:tcPr>
            <w:tcW w:w="4252" w:type="dxa"/>
            <w:tcBorders>
              <w:top w:val="single" w:sz="4" w:space="0" w:color="auto"/>
              <w:bottom w:val="single" w:sz="4" w:space="0" w:color="auto"/>
              <w:right w:val="single" w:sz="4" w:space="0" w:color="auto"/>
            </w:tcBorders>
          </w:tcPr>
          <w:p w:rsidR="00151352" w:rsidRDefault="00BD560D" w:rsidP="00EA6FC5">
            <w:pPr>
              <w:jc w:val="right"/>
              <w:rPr>
                <w:strike/>
                <w:lang w:val="en-GB"/>
              </w:rPr>
            </w:pPr>
            <w:r w:rsidRPr="00430708">
              <w:rPr>
                <w:sz w:val="22"/>
                <w:lang w:val="en-GB"/>
              </w:rPr>
              <w:lastRenderedPageBreak/>
              <w:t>Related adverse reactions of CTC grade 3 and 4 occurred in 37% of patients in clinical trials. The most commonly reported reactions</w:t>
            </w:r>
            <w:r w:rsidRPr="00D17AE7">
              <w:rPr>
                <w:lang w:val="en-GB"/>
              </w:rPr>
              <w:t xml:space="preserve"> </w:t>
            </w:r>
            <w:r w:rsidRPr="00430708">
              <w:rPr>
                <w:sz w:val="22"/>
                <w:lang w:val="en-GB"/>
              </w:rPr>
              <w:t xml:space="preserve">were </w:t>
            </w:r>
            <w:r w:rsidRPr="00560134">
              <w:rPr>
                <w:rFonts w:cs="Times New Roman"/>
                <w:szCs w:val="20"/>
                <w:lang w:val="en-GB" w:bidi="ar-SA"/>
              </w:rPr>
              <w:t>hyperglycaemia, hypokalaemia</w:t>
            </w:r>
            <w:r w:rsidRPr="00430708">
              <w:rPr>
                <w:sz w:val="22"/>
                <w:lang w:val="en-GB"/>
              </w:rPr>
              <w:t xml:space="preserve">, neutropenia, and increased </w:t>
            </w:r>
            <w:proofErr w:type="spellStart"/>
            <w:r w:rsidRPr="00430708">
              <w:rPr>
                <w:sz w:val="22"/>
                <w:lang w:val="en-GB"/>
              </w:rPr>
              <w:t>alanine</w:t>
            </w:r>
            <w:proofErr w:type="spellEnd"/>
            <w:r w:rsidRPr="00430708">
              <w:rPr>
                <w:sz w:val="22"/>
                <w:lang w:val="en-GB"/>
              </w:rPr>
              <w:t xml:space="preserve"> amino </w:t>
            </w:r>
            <w:proofErr w:type="spellStart"/>
            <w:r w:rsidRPr="00430708">
              <w:rPr>
                <w:sz w:val="22"/>
                <w:lang w:val="en-GB"/>
              </w:rPr>
              <w:t>transferase</w:t>
            </w:r>
            <w:proofErr w:type="spellEnd"/>
            <w:r w:rsidRPr="00430708">
              <w:rPr>
                <w:sz w:val="22"/>
                <w:lang w:val="en-GB"/>
              </w:rPr>
              <w:t xml:space="preserve"> (ALT).</w:t>
            </w:r>
            <w:r w:rsidRPr="00560134">
              <w:rPr>
                <w:rFonts w:cs="Times New Roman"/>
                <w:szCs w:val="20"/>
                <w:lang w:val="en-GB" w:bidi="ar-SA"/>
              </w:rPr>
              <w:t xml:space="preserve"> </w:t>
            </w:r>
            <w:proofErr w:type="spellStart"/>
            <w:r w:rsidRPr="00560134">
              <w:rPr>
                <w:rFonts w:cs="Times New Roman"/>
                <w:szCs w:val="20"/>
                <w:lang w:val="en-GB" w:bidi="ar-SA"/>
              </w:rPr>
              <w:t>Leukocytosis</w:t>
            </w:r>
            <w:proofErr w:type="spellEnd"/>
            <w:r w:rsidRPr="00560134">
              <w:rPr>
                <w:rFonts w:cs="Times New Roman"/>
                <w:szCs w:val="20"/>
                <w:lang w:val="en-GB" w:bidi="ar-SA"/>
              </w:rPr>
              <w:t xml:space="preserve"> occurred in 50% of patients with APL, as determined by haematology assessments</w:t>
            </w:r>
            <w:r>
              <w:rPr>
                <w:lang w:val="en-GB"/>
              </w:rPr>
              <w:t xml:space="preserve">, </w:t>
            </w:r>
            <w:r w:rsidRPr="00BD560D">
              <w:rPr>
                <w:strike/>
                <w:highlight w:val="yellow"/>
                <w:lang w:val="en-GB"/>
              </w:rPr>
              <w:t>rather than adverse events reports.</w:t>
            </w:r>
          </w:p>
          <w:p w:rsidR="00BD560D" w:rsidRDefault="00BD560D" w:rsidP="00EA6FC5">
            <w:pPr>
              <w:jc w:val="right"/>
              <w:rPr>
                <w:b/>
                <w:bCs/>
              </w:rPr>
            </w:pPr>
          </w:p>
          <w:p w:rsidR="00BD560D" w:rsidRDefault="00BD560D" w:rsidP="00BD560D">
            <w:pPr>
              <w:bidi w:val="0"/>
              <w:spacing w:line="360" w:lineRule="auto"/>
              <w:ind w:left="103"/>
              <w:rPr>
                <w:rFonts w:cs="Times New Roman"/>
                <w:strike/>
                <w:szCs w:val="20"/>
                <w:highlight w:val="yellow"/>
                <w:lang w:bidi="ar-SA"/>
              </w:rPr>
            </w:pPr>
          </w:p>
          <w:p w:rsidR="00BD560D" w:rsidRPr="00BD560D" w:rsidRDefault="00BD560D" w:rsidP="00BD560D">
            <w:pPr>
              <w:bidi w:val="0"/>
              <w:spacing w:line="360" w:lineRule="auto"/>
              <w:ind w:left="103"/>
              <w:rPr>
                <w:rFonts w:cs="Times New Roman"/>
                <w:strike/>
                <w:szCs w:val="20"/>
                <w:lang w:val="en-GB" w:bidi="ar-SA"/>
              </w:rPr>
            </w:pPr>
            <w:r w:rsidRPr="00BD560D">
              <w:rPr>
                <w:rFonts w:cs="Times New Roman"/>
                <w:strike/>
                <w:szCs w:val="20"/>
                <w:highlight w:val="yellow"/>
                <w:lang w:val="en-GB" w:bidi="ar-SA"/>
              </w:rPr>
              <w:t>The table below lists the related grade 3 and 4 adverse drug reactions for the 107 patients treated with TRISENOX in clinical trials. (Frequencies defined as: common ≥1/100 to &lt;1/10, uncommon ≥ 1/1,000 to &lt; 1/100).</w:t>
            </w:r>
          </w:p>
          <w:p w:rsidR="00BD560D" w:rsidRDefault="00BD560D" w:rsidP="00EA6FC5">
            <w:pPr>
              <w:jc w:val="right"/>
              <w:rPr>
                <w:b/>
                <w:bCs/>
              </w:rPr>
            </w:pPr>
          </w:p>
          <w:p w:rsidR="00BD560D" w:rsidRDefault="00BD560D" w:rsidP="00EA6FC5">
            <w:pPr>
              <w:jc w:val="right"/>
              <w:rPr>
                <w:rFonts w:cs="Times New Roman"/>
                <w:b/>
                <w:bCs/>
                <w:rtl/>
              </w:rPr>
            </w:pPr>
          </w:p>
          <w:p w:rsidR="00B250B7" w:rsidRDefault="00B250B7" w:rsidP="00EA6FC5">
            <w:pPr>
              <w:jc w:val="right"/>
              <w:rPr>
                <w:rFonts w:cs="Times New Roman"/>
                <w:b/>
                <w:bCs/>
              </w:rPr>
            </w:pPr>
          </w:p>
          <w:p w:rsidR="00B250B7" w:rsidRPr="00430708" w:rsidRDefault="00B250B7" w:rsidP="00B250B7">
            <w:pPr>
              <w:tabs>
                <w:tab w:val="left" w:pos="567"/>
              </w:tabs>
              <w:bidi w:val="0"/>
              <w:rPr>
                <w:rFonts w:cs="Times New Roman"/>
                <w:szCs w:val="20"/>
                <w:highlight w:val="yellow"/>
                <w:lang w:val="en-GB" w:bidi="ar-SA"/>
              </w:rPr>
            </w:pPr>
            <w:r w:rsidRPr="00430708">
              <w:rPr>
                <w:rFonts w:cs="Times New Roman"/>
                <w:szCs w:val="20"/>
                <w:highlight w:val="yellow"/>
                <w:lang w:val="en-GB" w:bidi="ar-SA"/>
              </w:rPr>
              <w:lastRenderedPageBreak/>
              <w:t xml:space="preserve">The following undesirable effects have been reported in clinical trials and/or post-marketing experience. Undesirable effects are listed below as </w:t>
            </w:r>
            <w:proofErr w:type="spellStart"/>
            <w:r w:rsidRPr="00430708">
              <w:rPr>
                <w:rFonts w:cs="Times New Roman"/>
                <w:szCs w:val="20"/>
                <w:highlight w:val="yellow"/>
                <w:lang w:val="en-GB" w:bidi="ar-SA"/>
              </w:rPr>
              <w:t>MedDRA</w:t>
            </w:r>
            <w:proofErr w:type="spellEnd"/>
            <w:r w:rsidRPr="00430708">
              <w:rPr>
                <w:rFonts w:cs="Times New Roman"/>
                <w:szCs w:val="20"/>
                <w:highlight w:val="yellow"/>
                <w:lang w:val="en-GB" w:bidi="ar-SA"/>
              </w:rPr>
              <w:t xml:space="preserve"> preferred term by system organ class and frequencies observed during TRISENOX clinical trials in 52 patients with refractory/relapsed APL. Frequencies are defined as:  very common≥1/10, common≥1/100 to &lt;1/10, uncommon≥1/1000 to &lt;1/100, not known (cannot be estimated from available data). </w:t>
            </w:r>
            <w:r w:rsidRPr="00430708" w:rsidDel="005257E9">
              <w:rPr>
                <w:rFonts w:cs="Times New Roman"/>
                <w:szCs w:val="20"/>
                <w:highlight w:val="yellow"/>
                <w:lang w:val="en-GB" w:bidi="ar-SA"/>
              </w:rPr>
              <w:t xml:space="preserve"> </w:t>
            </w:r>
          </w:p>
          <w:p w:rsidR="00B250B7" w:rsidRPr="00430708" w:rsidRDefault="00B250B7" w:rsidP="00B250B7">
            <w:pPr>
              <w:tabs>
                <w:tab w:val="left" w:pos="567"/>
              </w:tabs>
              <w:bidi w:val="0"/>
              <w:rPr>
                <w:rFonts w:cs="Times New Roman"/>
                <w:szCs w:val="20"/>
                <w:highlight w:val="yellow"/>
                <w:lang w:val="en-GB" w:bidi="ar-SA"/>
              </w:rPr>
            </w:pPr>
          </w:p>
          <w:p w:rsidR="00B250B7" w:rsidRPr="00430708" w:rsidRDefault="00B250B7" w:rsidP="00B250B7">
            <w:pPr>
              <w:tabs>
                <w:tab w:val="left" w:pos="567"/>
              </w:tabs>
              <w:bidi w:val="0"/>
              <w:rPr>
                <w:rFonts w:cs="Times New Roman"/>
                <w:szCs w:val="20"/>
                <w:highlight w:val="yellow"/>
                <w:lang w:val="en-GB" w:bidi="ar-SA"/>
              </w:rPr>
            </w:pPr>
          </w:p>
          <w:p w:rsidR="00B250B7" w:rsidRPr="00430708" w:rsidRDefault="00B250B7" w:rsidP="00B250B7">
            <w:pPr>
              <w:tabs>
                <w:tab w:val="left" w:pos="567"/>
              </w:tabs>
              <w:bidi w:val="0"/>
              <w:rPr>
                <w:rFonts w:cs="Times New Roman"/>
                <w:szCs w:val="20"/>
                <w:highlight w:val="yellow"/>
                <w:lang w:val="en-GB" w:bidi="ar-SA"/>
              </w:rPr>
            </w:pPr>
          </w:p>
          <w:p w:rsidR="00B250B7" w:rsidRPr="00430708" w:rsidRDefault="00B250B7" w:rsidP="00B250B7">
            <w:pPr>
              <w:tabs>
                <w:tab w:val="left" w:pos="567"/>
              </w:tabs>
              <w:bidi w:val="0"/>
              <w:rPr>
                <w:rFonts w:cs="Times New Roman"/>
                <w:szCs w:val="20"/>
                <w:lang w:val="en-GB" w:bidi="ar-SA"/>
              </w:rPr>
            </w:pPr>
            <w:r w:rsidRPr="00430708">
              <w:rPr>
                <w:rFonts w:cs="Times New Roman"/>
                <w:szCs w:val="20"/>
                <w:highlight w:val="yellow"/>
                <w:lang w:val="en-GB" w:bidi="ar-SA"/>
              </w:rPr>
              <w:t>Within each frequency grouping, undesirable effects are presented in order of decreasing seriousness.</w:t>
            </w:r>
            <w:r w:rsidRPr="00560134">
              <w:rPr>
                <w:rFonts w:cs="Times New Roman"/>
                <w:szCs w:val="20"/>
                <w:lang w:val="en-GB" w:bidi="ar-SA"/>
              </w:rPr>
              <w:t xml:space="preserve"> </w:t>
            </w:r>
          </w:p>
          <w:p w:rsidR="00B250B7" w:rsidRPr="00B250B7" w:rsidRDefault="00B250B7" w:rsidP="00EA6FC5">
            <w:pPr>
              <w:jc w:val="right"/>
              <w:rPr>
                <w:rFonts w:cs="Times New Roman"/>
                <w:b/>
                <w:bCs/>
                <w:lang w:val="en-GB"/>
              </w:rPr>
            </w:pPr>
          </w:p>
        </w:tc>
      </w:tr>
    </w:tbl>
    <w:p w:rsidR="00151352" w:rsidRDefault="00151352" w:rsidP="00151352">
      <w:pPr>
        <w:autoSpaceDE w:val="0"/>
        <w:autoSpaceDN w:val="0"/>
        <w:bidi w:val="0"/>
        <w:adjustRightInd w:val="0"/>
        <w:spacing w:line="360" w:lineRule="auto"/>
        <w:rPr>
          <w:rFonts w:cs="Times New Roman"/>
          <w:b/>
          <w:bCs/>
          <w:sz w:val="22"/>
          <w:szCs w:val="22"/>
          <w:rtl/>
          <w:lang w:eastAsia="en-US"/>
        </w:rPr>
      </w:pPr>
    </w:p>
    <w:p w:rsidR="00151352" w:rsidRDefault="00151352" w:rsidP="00151352">
      <w:pPr>
        <w:autoSpaceDE w:val="0"/>
        <w:autoSpaceDN w:val="0"/>
        <w:adjustRightInd w:val="0"/>
        <w:spacing w:line="360" w:lineRule="auto"/>
        <w:rPr>
          <w:rFonts w:cs="Times New Roman"/>
          <w:b/>
          <w:bCs/>
          <w:sz w:val="22"/>
          <w:szCs w:val="22"/>
          <w:lang w:eastAsia="en-US"/>
        </w:rPr>
      </w:pPr>
      <w:r>
        <w:rPr>
          <w:rFonts w:cs="Times New Roman" w:hint="cs"/>
          <w:b/>
          <w:bCs/>
          <w:sz w:val="22"/>
          <w:szCs w:val="22"/>
          <w:rtl/>
          <w:lang w:eastAsia="en-US"/>
        </w:rPr>
        <w:t>טקסט קיים</w:t>
      </w:r>
      <w:r w:rsidR="003271FD">
        <w:rPr>
          <w:rFonts w:cs="Times New Roman" w:hint="cs"/>
          <w:b/>
          <w:bCs/>
          <w:sz w:val="22"/>
          <w:szCs w:val="22"/>
          <w:rtl/>
          <w:lang w:eastAsia="en-US"/>
        </w:rPr>
        <w:t xml:space="preserve"> ( סעיף 4.8) </w:t>
      </w:r>
      <w:r>
        <w:rPr>
          <w:rFonts w:cs="Times New Roman" w:hint="cs"/>
          <w:b/>
          <w:bCs/>
          <w:sz w:val="22"/>
          <w:szCs w:val="22"/>
          <w:rtl/>
          <w:lang w:eastAsia="en-US"/>
        </w:rPr>
        <w:t>:</w:t>
      </w:r>
    </w:p>
    <w:p w:rsidR="00151352" w:rsidRPr="00352A22" w:rsidRDefault="00151352" w:rsidP="00151352">
      <w:pPr>
        <w:autoSpaceDE w:val="0"/>
        <w:autoSpaceDN w:val="0"/>
        <w:bidi w:val="0"/>
        <w:adjustRightInd w:val="0"/>
        <w:spacing w:line="360" w:lineRule="auto"/>
        <w:rPr>
          <w:rFonts w:cs="Times New Roman"/>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32"/>
        <w:gridCol w:w="2841"/>
        <w:gridCol w:w="2841"/>
      </w:tblGrid>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System Organ Class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Common </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Uncommon</w:t>
            </w:r>
          </w:p>
        </w:tc>
      </w:tr>
      <w:tr w:rsidR="00B250B7" w:rsidRPr="00B250B7" w:rsidTr="00430708">
        <w:trPr>
          <w:trHeight w:val="1052"/>
        </w:trPr>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Blood and lymphatic system disorders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Neutropenia </w:t>
            </w:r>
            <w:r w:rsidRPr="00B250B7">
              <w:rPr>
                <w:rFonts w:cs="Times New Roman"/>
                <w:szCs w:val="20"/>
                <w:lang w:val="en-GB" w:bidi="ar-SA"/>
              </w:rPr>
              <w:br/>
              <w:t xml:space="preserve">Thrombocytopenia </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Febrile </w:t>
            </w:r>
            <w:proofErr w:type="spellStart"/>
            <w:r w:rsidRPr="00B250B7">
              <w:rPr>
                <w:rFonts w:cs="Times New Roman"/>
                <w:szCs w:val="20"/>
                <w:lang w:val="en-GB" w:bidi="ar-SA"/>
              </w:rPr>
              <w:t>neutropenia</w:t>
            </w:r>
            <w:proofErr w:type="spellEnd"/>
            <w:r w:rsidRPr="00B250B7">
              <w:rPr>
                <w:rFonts w:cs="Times New Roman"/>
                <w:szCs w:val="20"/>
                <w:lang w:val="en-GB" w:bidi="ar-SA"/>
              </w:rPr>
              <w:t xml:space="preserve"> </w:t>
            </w:r>
            <w:r w:rsidRPr="00B250B7">
              <w:rPr>
                <w:rFonts w:cs="Times New Roman"/>
                <w:szCs w:val="20"/>
                <w:lang w:val="en-GB" w:bidi="ar-SA"/>
              </w:rPr>
              <w:br/>
            </w:r>
            <w:proofErr w:type="spellStart"/>
            <w:r w:rsidRPr="00B250B7">
              <w:rPr>
                <w:rFonts w:cs="Times New Roman"/>
                <w:szCs w:val="20"/>
                <w:lang w:val="en-GB" w:bidi="ar-SA"/>
              </w:rPr>
              <w:t>Leucocytosis</w:t>
            </w:r>
            <w:proofErr w:type="spellEnd"/>
            <w:r w:rsidRPr="00B250B7">
              <w:rPr>
                <w:rFonts w:cs="Times New Roman"/>
                <w:szCs w:val="20"/>
                <w:lang w:val="en-GB" w:bidi="ar-SA"/>
              </w:rPr>
              <w:t xml:space="preserve"> </w:t>
            </w:r>
            <w:r w:rsidRPr="00B250B7">
              <w:rPr>
                <w:rFonts w:cs="Times New Roman"/>
                <w:szCs w:val="20"/>
                <w:lang w:val="en-GB" w:bidi="ar-SA"/>
              </w:rPr>
              <w:br/>
            </w:r>
            <w:proofErr w:type="spellStart"/>
            <w:r w:rsidRPr="00B250B7">
              <w:rPr>
                <w:rFonts w:cs="Times New Roman"/>
                <w:szCs w:val="20"/>
                <w:lang w:val="en-GB" w:bidi="ar-SA"/>
              </w:rPr>
              <w:t>Leucopenia</w:t>
            </w:r>
            <w:proofErr w:type="spellEnd"/>
            <w:r w:rsidRPr="00B250B7">
              <w:rPr>
                <w:rFonts w:cs="Times New Roman"/>
                <w:szCs w:val="20"/>
                <w:lang w:val="en-GB" w:bidi="ar-SA"/>
              </w:rPr>
              <w:t xml:space="preserve"> </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Metabolism and nutrition </w:t>
            </w:r>
            <w:r w:rsidRPr="00B250B7">
              <w:rPr>
                <w:rFonts w:cs="Times New Roman"/>
                <w:szCs w:val="20"/>
                <w:lang w:val="en-GB" w:bidi="ar-SA"/>
              </w:rPr>
              <w:br/>
              <w:t>disorders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Hyperglycemia</w:t>
            </w:r>
            <w:r w:rsidRPr="00B250B7">
              <w:rPr>
                <w:rFonts w:cs="Times New Roman"/>
                <w:szCs w:val="20"/>
                <w:lang w:val="en-GB" w:bidi="ar-SA"/>
              </w:rPr>
              <w:br/>
              <w:t>Hypokalemia</w:t>
            </w:r>
          </w:p>
        </w:tc>
        <w:tc>
          <w:tcPr>
            <w:tcW w:w="2841" w:type="dxa"/>
          </w:tcPr>
          <w:p w:rsidR="00B250B7" w:rsidRPr="00B250B7" w:rsidRDefault="00B250B7" w:rsidP="00B250B7">
            <w:pPr>
              <w:bidi w:val="0"/>
              <w:spacing w:after="200"/>
              <w:rPr>
                <w:rFonts w:cs="Times New Roman"/>
                <w:szCs w:val="20"/>
                <w:lang w:val="en-GB" w:bidi="ar-SA"/>
              </w:rPr>
            </w:pPr>
            <w:proofErr w:type="spellStart"/>
            <w:r w:rsidRPr="00B250B7">
              <w:rPr>
                <w:rFonts w:cs="Times New Roman"/>
                <w:szCs w:val="20"/>
                <w:lang w:val="en-GB" w:bidi="ar-SA"/>
              </w:rPr>
              <w:t>Hypermagnesaemia</w:t>
            </w:r>
            <w:proofErr w:type="spellEnd"/>
            <w:r w:rsidRPr="00B250B7">
              <w:rPr>
                <w:rFonts w:cs="Times New Roman"/>
                <w:szCs w:val="20"/>
                <w:lang w:val="en-GB" w:bidi="ar-SA"/>
              </w:rPr>
              <w:br/>
            </w:r>
            <w:proofErr w:type="spellStart"/>
            <w:r w:rsidRPr="00B250B7">
              <w:rPr>
                <w:rFonts w:cs="Times New Roman"/>
                <w:szCs w:val="20"/>
                <w:lang w:val="en-GB" w:bidi="ar-SA"/>
              </w:rPr>
              <w:t>Hypermatraemia</w:t>
            </w:r>
            <w:proofErr w:type="spellEnd"/>
            <w:r w:rsidRPr="00B250B7">
              <w:rPr>
                <w:rFonts w:cs="Times New Roman"/>
                <w:szCs w:val="20"/>
                <w:lang w:val="en-GB" w:bidi="ar-SA"/>
              </w:rPr>
              <w:br/>
            </w:r>
            <w:proofErr w:type="spellStart"/>
            <w:r w:rsidRPr="00B250B7">
              <w:rPr>
                <w:rFonts w:cs="Times New Roman"/>
                <w:szCs w:val="20"/>
                <w:lang w:val="en-GB" w:bidi="ar-SA"/>
              </w:rPr>
              <w:t>Ketoacidosis</w:t>
            </w:r>
            <w:proofErr w:type="spellEnd"/>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Nervous system disorders </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Paraesthesia</w:t>
            </w:r>
          </w:p>
        </w:tc>
        <w:tc>
          <w:tcPr>
            <w:tcW w:w="2841" w:type="dxa"/>
          </w:tcPr>
          <w:p w:rsidR="00B250B7" w:rsidRPr="00B250B7" w:rsidRDefault="00B250B7" w:rsidP="00B250B7">
            <w:pPr>
              <w:bidi w:val="0"/>
              <w:spacing w:after="200"/>
              <w:rPr>
                <w:rFonts w:cs="Times New Roman"/>
                <w:szCs w:val="20"/>
                <w:lang w:val="en-GB" w:bidi="ar-SA"/>
              </w:rPr>
            </w:pP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Cardiac disorders</w:t>
            </w:r>
          </w:p>
        </w:tc>
        <w:tc>
          <w:tcPr>
            <w:tcW w:w="2841" w:type="dxa"/>
          </w:tcPr>
          <w:p w:rsidR="00B250B7" w:rsidRPr="00B250B7" w:rsidRDefault="00B250B7" w:rsidP="00B250B7">
            <w:pPr>
              <w:bidi w:val="0"/>
              <w:spacing w:after="200"/>
              <w:rPr>
                <w:rFonts w:cs="Times New Roman"/>
                <w:szCs w:val="20"/>
                <w:lang w:val="en-GB" w:bidi="ar-SA"/>
              </w:rPr>
            </w:pP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Pericardial effusion </w:t>
            </w:r>
            <w:r w:rsidRPr="00B250B7">
              <w:rPr>
                <w:rFonts w:cs="Times New Roman"/>
                <w:szCs w:val="20"/>
                <w:lang w:val="en-GB" w:bidi="ar-SA"/>
              </w:rPr>
              <w:br/>
              <w:t>Tachycardia</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Vascular disorders</w:t>
            </w:r>
          </w:p>
        </w:tc>
        <w:tc>
          <w:tcPr>
            <w:tcW w:w="2841" w:type="dxa"/>
          </w:tcPr>
          <w:p w:rsidR="00B250B7" w:rsidRPr="00B250B7" w:rsidRDefault="00B250B7" w:rsidP="00B250B7">
            <w:pPr>
              <w:bidi w:val="0"/>
              <w:spacing w:after="200"/>
              <w:rPr>
                <w:rFonts w:cs="Times New Roman"/>
                <w:szCs w:val="20"/>
                <w:lang w:val="en-GB" w:bidi="ar-SA"/>
              </w:rPr>
            </w:pPr>
          </w:p>
        </w:tc>
        <w:tc>
          <w:tcPr>
            <w:tcW w:w="2841" w:type="dxa"/>
          </w:tcPr>
          <w:p w:rsidR="00B250B7" w:rsidRPr="00B250B7" w:rsidRDefault="00B250B7" w:rsidP="00B250B7">
            <w:pPr>
              <w:bidi w:val="0"/>
              <w:spacing w:after="200"/>
              <w:rPr>
                <w:rFonts w:cs="Times New Roman"/>
                <w:szCs w:val="20"/>
                <w:lang w:val="en-GB" w:bidi="ar-SA"/>
              </w:rPr>
            </w:pPr>
            <w:proofErr w:type="spellStart"/>
            <w:r w:rsidRPr="00B250B7">
              <w:rPr>
                <w:rFonts w:cs="Times New Roman"/>
                <w:szCs w:val="20"/>
                <w:lang w:val="en-GB" w:bidi="ar-SA"/>
              </w:rPr>
              <w:t>Vasculitis</w:t>
            </w:r>
            <w:proofErr w:type="spellEnd"/>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Respiratory, thoracic and </w:t>
            </w:r>
            <w:proofErr w:type="spellStart"/>
            <w:r w:rsidRPr="00B250B7">
              <w:rPr>
                <w:rFonts w:cs="Times New Roman"/>
                <w:szCs w:val="20"/>
                <w:lang w:val="en-GB" w:bidi="ar-SA"/>
              </w:rPr>
              <w:t>mediastinal</w:t>
            </w:r>
            <w:proofErr w:type="spellEnd"/>
            <w:r w:rsidRPr="00B250B7">
              <w:rPr>
                <w:rFonts w:cs="Times New Roman"/>
                <w:szCs w:val="20"/>
                <w:lang w:val="en-GB" w:bidi="ar-SA"/>
              </w:rPr>
              <w:t xml:space="preserve"> disorders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Dyspnoea</w:t>
            </w:r>
            <w:r w:rsidRPr="00B250B7">
              <w:rPr>
                <w:rFonts w:cs="Times New Roman"/>
                <w:szCs w:val="20"/>
                <w:lang w:val="en-GB" w:bidi="ar-SA"/>
              </w:rPr>
              <w:br/>
            </w:r>
            <w:proofErr w:type="spellStart"/>
            <w:r w:rsidRPr="00B250B7">
              <w:rPr>
                <w:rFonts w:cs="Times New Roman"/>
                <w:szCs w:val="20"/>
                <w:lang w:val="en-GB" w:bidi="ar-SA"/>
              </w:rPr>
              <w:t>Pleuritic</w:t>
            </w:r>
            <w:proofErr w:type="spellEnd"/>
            <w:r w:rsidRPr="00B250B7">
              <w:rPr>
                <w:rFonts w:cs="Times New Roman"/>
                <w:szCs w:val="20"/>
                <w:lang w:val="en-GB" w:bidi="ar-SA"/>
              </w:rPr>
              <w:t xml:space="preserve"> pain</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Hypoxia</w:t>
            </w:r>
            <w:r w:rsidRPr="00B250B7">
              <w:rPr>
                <w:rFonts w:cs="Times New Roman"/>
                <w:szCs w:val="20"/>
                <w:lang w:val="en-GB" w:bidi="ar-SA"/>
              </w:rPr>
              <w:br/>
              <w:t xml:space="preserve">Pleural effusion </w:t>
            </w:r>
            <w:r w:rsidRPr="00B250B7">
              <w:rPr>
                <w:rFonts w:cs="Times New Roman"/>
                <w:szCs w:val="20"/>
                <w:lang w:val="en-GB" w:bidi="ar-SA"/>
              </w:rPr>
              <w:br/>
              <w:t>Pulmonary alveolar</w:t>
            </w:r>
            <w:r w:rsidRPr="00B250B7">
              <w:rPr>
                <w:rFonts w:cs="Times New Roman"/>
                <w:szCs w:val="20"/>
                <w:lang w:val="en-GB" w:bidi="ar-SA"/>
              </w:rPr>
              <w:br/>
              <w:t>Haemorrhage</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Gastrointestinal disorders </w:t>
            </w:r>
          </w:p>
        </w:tc>
        <w:tc>
          <w:tcPr>
            <w:tcW w:w="2841" w:type="dxa"/>
          </w:tcPr>
          <w:p w:rsidR="00B250B7" w:rsidRPr="00B250B7" w:rsidRDefault="00B250B7" w:rsidP="00B250B7">
            <w:pPr>
              <w:bidi w:val="0"/>
              <w:spacing w:after="200"/>
              <w:rPr>
                <w:rFonts w:cs="Times New Roman"/>
                <w:szCs w:val="20"/>
                <w:lang w:val="en-GB" w:bidi="ar-SA"/>
              </w:rPr>
            </w:pP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br/>
              <w:t>Diarrhoea</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Skin &amp; subcutaneous tissue </w:t>
            </w:r>
            <w:r w:rsidRPr="00B250B7">
              <w:rPr>
                <w:rFonts w:cs="Times New Roman"/>
                <w:szCs w:val="20"/>
                <w:lang w:val="en-GB" w:bidi="ar-SA"/>
              </w:rPr>
              <w:br/>
            </w:r>
            <w:r w:rsidRPr="00B250B7">
              <w:rPr>
                <w:rFonts w:cs="Times New Roman"/>
                <w:szCs w:val="20"/>
                <w:lang w:val="en-GB" w:bidi="ar-SA"/>
              </w:rPr>
              <w:lastRenderedPageBreak/>
              <w:t>disorders</w:t>
            </w:r>
          </w:p>
        </w:tc>
        <w:tc>
          <w:tcPr>
            <w:tcW w:w="2841" w:type="dxa"/>
          </w:tcPr>
          <w:p w:rsidR="00B250B7" w:rsidRPr="00B250B7" w:rsidRDefault="00B250B7" w:rsidP="00B250B7">
            <w:pPr>
              <w:bidi w:val="0"/>
              <w:spacing w:after="200"/>
              <w:rPr>
                <w:rFonts w:cs="Times New Roman"/>
                <w:szCs w:val="20"/>
                <w:lang w:val="en-GB" w:bidi="ar-SA"/>
              </w:rPr>
            </w:pP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Erythema</w:t>
            </w:r>
            <w:r w:rsidRPr="00B250B7">
              <w:rPr>
                <w:rFonts w:cs="Times New Roman"/>
                <w:szCs w:val="20"/>
                <w:lang w:val="en-GB" w:bidi="ar-SA"/>
              </w:rPr>
              <w:br/>
              <w:t>Pruritus</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lastRenderedPageBreak/>
              <w:t xml:space="preserve">Musculoskeletal and connective tissue disorders </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Arthralgia </w:t>
            </w:r>
            <w:r w:rsidRPr="00B250B7">
              <w:rPr>
                <w:rFonts w:cs="Times New Roman"/>
                <w:szCs w:val="20"/>
                <w:lang w:val="en-GB" w:bidi="ar-SA"/>
              </w:rPr>
              <w:br/>
              <w:t>Bone pain</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br/>
              <w:t>Myalgia</w:t>
            </w:r>
            <w:r w:rsidRPr="00B250B7">
              <w:rPr>
                <w:rFonts w:cs="Times New Roman"/>
                <w:szCs w:val="20"/>
                <w:lang w:val="en-GB" w:bidi="ar-SA"/>
              </w:rPr>
              <w:br/>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General disorders and </w:t>
            </w:r>
            <w:r w:rsidRPr="00B250B7">
              <w:rPr>
                <w:rFonts w:cs="Times New Roman"/>
                <w:szCs w:val="20"/>
                <w:lang w:val="en-GB" w:bidi="ar-SA"/>
              </w:rPr>
              <w:br/>
              <w:t>administration site conditions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Fatigue</w:t>
            </w:r>
            <w:r w:rsidRPr="00B250B7">
              <w:rPr>
                <w:rFonts w:cs="Times New Roman"/>
                <w:szCs w:val="20"/>
                <w:lang w:val="en-GB" w:bidi="ar-SA"/>
              </w:rPr>
              <w:br/>
              <w:t>Pyrexia</w:t>
            </w:r>
            <w:r w:rsidRPr="00B250B7">
              <w:rPr>
                <w:rFonts w:cs="Times New Roman"/>
                <w:szCs w:val="20"/>
                <w:lang w:val="en-GB" w:bidi="ar-SA"/>
              </w:rPr>
              <w:br/>
              <w:t>Oedema</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Chest pain</w:t>
            </w:r>
            <w:r w:rsidRPr="00B250B7">
              <w:rPr>
                <w:rFonts w:cs="Times New Roman"/>
                <w:szCs w:val="20"/>
                <w:lang w:val="en-GB" w:bidi="ar-SA"/>
              </w:rPr>
              <w:br/>
              <w:t xml:space="preserve">Pain </w:t>
            </w:r>
          </w:p>
        </w:tc>
      </w:tr>
      <w:tr w:rsidR="00B250B7" w:rsidRPr="00B250B7" w:rsidTr="00430708">
        <w:tc>
          <w:tcPr>
            <w:tcW w:w="2732"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Investigations</w:t>
            </w:r>
          </w:p>
        </w:tc>
        <w:tc>
          <w:tcPr>
            <w:tcW w:w="2841" w:type="dxa"/>
          </w:tcPr>
          <w:p w:rsidR="00B250B7" w:rsidRPr="00B250B7" w:rsidRDefault="00B250B7" w:rsidP="00B250B7">
            <w:pPr>
              <w:bidi w:val="0"/>
              <w:spacing w:after="200"/>
              <w:rPr>
                <w:rFonts w:cs="Times New Roman"/>
                <w:szCs w:val="20"/>
                <w:lang w:val="en-GB" w:bidi="ar-SA"/>
              </w:rPr>
            </w:pPr>
            <w:r w:rsidRPr="00B250B7">
              <w:rPr>
                <w:rFonts w:cs="Times New Roman"/>
                <w:szCs w:val="20"/>
                <w:lang w:val="en-GB" w:bidi="ar-SA"/>
              </w:rPr>
              <w:t xml:space="preserve">ALT increased </w:t>
            </w:r>
            <w:r w:rsidRPr="00B250B7">
              <w:rPr>
                <w:rFonts w:cs="Times New Roman"/>
                <w:szCs w:val="20"/>
                <w:lang w:val="en-GB" w:bidi="ar-SA"/>
              </w:rPr>
              <w:br/>
            </w:r>
            <w:proofErr w:type="spellStart"/>
            <w:r w:rsidRPr="00B250B7">
              <w:rPr>
                <w:rFonts w:cs="Times New Roman"/>
                <w:szCs w:val="20"/>
                <w:lang w:val="en-GB" w:bidi="ar-SA"/>
              </w:rPr>
              <w:t>Aspartate</w:t>
            </w:r>
            <w:proofErr w:type="spellEnd"/>
            <w:r w:rsidRPr="00B250B7">
              <w:rPr>
                <w:rFonts w:cs="Times New Roman"/>
                <w:szCs w:val="20"/>
                <w:lang w:val="en-GB" w:bidi="ar-SA"/>
              </w:rPr>
              <w:t xml:space="preserve"> amino </w:t>
            </w:r>
            <w:proofErr w:type="spellStart"/>
            <w:r w:rsidRPr="00B250B7">
              <w:rPr>
                <w:rFonts w:cs="Times New Roman"/>
                <w:szCs w:val="20"/>
                <w:lang w:val="en-GB" w:bidi="ar-SA"/>
              </w:rPr>
              <w:t>transferase</w:t>
            </w:r>
            <w:proofErr w:type="spellEnd"/>
            <w:r w:rsidRPr="00B250B7">
              <w:rPr>
                <w:rFonts w:cs="Times New Roman"/>
                <w:szCs w:val="20"/>
                <w:lang w:val="en-GB" w:bidi="ar-SA"/>
              </w:rPr>
              <w:t xml:space="preserve"> increased </w:t>
            </w:r>
            <w:r w:rsidRPr="00B250B7">
              <w:rPr>
                <w:rFonts w:cs="Times New Roman"/>
                <w:szCs w:val="20"/>
                <w:lang w:val="en-GB" w:bidi="ar-SA"/>
              </w:rPr>
              <w:br/>
              <w:t>ECG QT prolonged</w:t>
            </w:r>
          </w:p>
        </w:tc>
        <w:tc>
          <w:tcPr>
            <w:tcW w:w="2841" w:type="dxa"/>
          </w:tcPr>
          <w:p w:rsidR="00B250B7" w:rsidRPr="00B250B7" w:rsidRDefault="00B250B7" w:rsidP="00B250B7">
            <w:pPr>
              <w:bidi w:val="0"/>
              <w:rPr>
                <w:rFonts w:cs="Times New Roman"/>
                <w:szCs w:val="20"/>
                <w:lang w:val="en-GB" w:bidi="ar-SA"/>
              </w:rPr>
            </w:pPr>
            <w:proofErr w:type="spellStart"/>
            <w:r w:rsidRPr="00B250B7">
              <w:rPr>
                <w:rFonts w:cs="Times New Roman"/>
                <w:szCs w:val="20"/>
                <w:lang w:val="en-GB" w:bidi="ar-SA"/>
              </w:rPr>
              <w:t>Hyperbilirubinaemia</w:t>
            </w:r>
            <w:proofErr w:type="spellEnd"/>
          </w:p>
          <w:p w:rsidR="00B250B7" w:rsidRPr="00B250B7" w:rsidRDefault="00B250B7" w:rsidP="00B250B7">
            <w:pPr>
              <w:bidi w:val="0"/>
              <w:rPr>
                <w:rFonts w:cs="Times New Roman"/>
                <w:szCs w:val="20"/>
                <w:lang w:val="en-GB" w:bidi="ar-SA"/>
              </w:rPr>
            </w:pPr>
            <w:r w:rsidRPr="00B250B7">
              <w:rPr>
                <w:rFonts w:cs="Times New Roman"/>
                <w:szCs w:val="20"/>
                <w:lang w:val="en-GB" w:bidi="ar-SA"/>
              </w:rPr>
              <w:t>Hypomagnesaemia</w:t>
            </w:r>
          </w:p>
          <w:p w:rsidR="00B250B7" w:rsidRPr="00B250B7" w:rsidRDefault="00B250B7" w:rsidP="00B250B7">
            <w:pPr>
              <w:bidi w:val="0"/>
              <w:spacing w:after="200"/>
              <w:rPr>
                <w:rFonts w:cs="Times New Roman"/>
                <w:szCs w:val="20"/>
                <w:lang w:bidi="ar-SA"/>
              </w:rPr>
            </w:pPr>
          </w:p>
        </w:tc>
      </w:tr>
    </w:tbl>
    <w:p w:rsidR="009A5975" w:rsidRDefault="009A5975">
      <w:pPr>
        <w:rPr>
          <w:rtl/>
        </w:rPr>
      </w:pPr>
    </w:p>
    <w:p w:rsidR="00EB324D" w:rsidRDefault="00EB324D">
      <w:pPr>
        <w:rPr>
          <w:rtl/>
        </w:rPr>
      </w:pPr>
    </w:p>
    <w:p w:rsidR="00EB324D" w:rsidRDefault="00EB324D">
      <w:pPr>
        <w:rPr>
          <w:rtl/>
        </w:rPr>
      </w:pPr>
    </w:p>
    <w:p w:rsidR="00EB324D" w:rsidRDefault="00EB324D">
      <w:pPr>
        <w:rPr>
          <w:rtl/>
        </w:rPr>
      </w:pPr>
    </w:p>
    <w:p w:rsidR="00EB324D" w:rsidRPr="003271FD" w:rsidRDefault="00EB324D" w:rsidP="00EB324D">
      <w:pPr>
        <w:rPr>
          <w:b/>
          <w:bCs/>
          <w:rtl/>
        </w:rPr>
      </w:pPr>
      <w:r w:rsidRPr="003271FD">
        <w:rPr>
          <w:rFonts w:hint="cs"/>
          <w:b/>
          <w:bCs/>
          <w:rtl/>
        </w:rPr>
        <w:t xml:space="preserve">טקסט חדש </w:t>
      </w:r>
      <w:r w:rsidRPr="003271FD">
        <w:rPr>
          <w:b/>
          <w:bCs/>
          <w:rtl/>
        </w:rPr>
        <w:t>–</w:t>
      </w:r>
      <w:r w:rsidRPr="003271FD">
        <w:rPr>
          <w:rFonts w:hint="cs"/>
          <w:b/>
          <w:bCs/>
          <w:rtl/>
        </w:rPr>
        <w:t xml:space="preserve"> הטבלה הנ"ל הוחלפה בטבלה הבאה:</w:t>
      </w:r>
    </w:p>
    <w:p w:rsidR="00EB324D" w:rsidRDefault="00EB324D">
      <w:pPr>
        <w:rPr>
          <w:rtl/>
        </w:rPr>
      </w:pPr>
    </w:p>
    <w:tbl>
      <w:tblPr>
        <w:tblW w:w="3874" w:type="pct"/>
        <w:tblBorders>
          <w:top w:val="single" w:sz="8" w:space="0" w:color="000000"/>
          <w:left w:val="single" w:sz="8" w:space="0" w:color="000000"/>
          <w:bottom w:val="single" w:sz="8" w:space="0" w:color="000000"/>
          <w:right w:val="single" w:sz="8" w:space="0" w:color="000000"/>
        </w:tblBorders>
        <w:tblLayout w:type="fixed"/>
        <w:tblLook w:val="01E0"/>
      </w:tblPr>
      <w:tblGrid>
        <w:gridCol w:w="3441"/>
        <w:gridCol w:w="1595"/>
        <w:gridCol w:w="1567"/>
      </w:tblGrid>
      <w:tr w:rsidR="00B250B7" w:rsidRPr="00B250B7" w:rsidTr="00430708">
        <w:trPr>
          <w:cantSplit/>
          <w:tblHeader/>
        </w:trPr>
        <w:tc>
          <w:tcPr>
            <w:tcW w:w="3763" w:type="dxa"/>
            <w:tcBorders>
              <w:bottom w:val="single" w:sz="8" w:space="0" w:color="000000"/>
            </w:tcBorders>
            <w:shd w:val="clear" w:color="auto" w:fill="auto"/>
            <w:vAlign w:val="center"/>
          </w:tcPr>
          <w:p w:rsidR="00B250B7" w:rsidRPr="00B250B7" w:rsidRDefault="00B250B7" w:rsidP="00B250B7">
            <w:pPr>
              <w:keepNext/>
              <w:bidi w:val="0"/>
              <w:spacing w:before="60"/>
              <w:jc w:val="center"/>
              <w:rPr>
                <w:rFonts w:eastAsia="SimSun" w:cs="Times New Roman"/>
                <w:lang w:val="en-GB" w:eastAsia="fr-FR" w:bidi="ar-SA"/>
              </w:rPr>
            </w:pPr>
          </w:p>
        </w:tc>
        <w:tc>
          <w:tcPr>
            <w:tcW w:w="1732" w:type="dxa"/>
            <w:tcBorders>
              <w:bottom w:val="single" w:sz="8" w:space="0" w:color="000000"/>
            </w:tcBorders>
            <w:vAlign w:val="center"/>
          </w:tcPr>
          <w:p w:rsidR="00B250B7" w:rsidRPr="00B250B7" w:rsidRDefault="00B250B7" w:rsidP="00B250B7">
            <w:pPr>
              <w:keepNext/>
              <w:bidi w:val="0"/>
              <w:spacing w:before="60"/>
              <w:jc w:val="center"/>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All grades</w:t>
            </w:r>
          </w:p>
        </w:tc>
        <w:tc>
          <w:tcPr>
            <w:tcW w:w="1701" w:type="dxa"/>
            <w:tcBorders>
              <w:bottom w:val="single" w:sz="8" w:space="0" w:color="000000"/>
            </w:tcBorders>
            <w:shd w:val="clear" w:color="auto" w:fill="auto"/>
            <w:vAlign w:val="center"/>
          </w:tcPr>
          <w:p w:rsidR="00B250B7" w:rsidRPr="00B250B7" w:rsidRDefault="00B250B7" w:rsidP="00B250B7">
            <w:pPr>
              <w:keepNext/>
              <w:bidi w:val="0"/>
              <w:spacing w:before="60"/>
              <w:jc w:val="center"/>
              <w:rPr>
                <w:rFonts w:eastAsia="SimSun" w:cs="Times New Roman"/>
                <w:b/>
                <w:highlight w:val="yellow"/>
                <w:lang w:val="en-GB" w:eastAsia="fr-FR" w:bidi="ar-SA"/>
              </w:rPr>
            </w:pPr>
            <w:r w:rsidRPr="00B250B7">
              <w:rPr>
                <w:rFonts w:eastAsia="SimSun" w:cs="Times New Roman" w:hint="eastAsia"/>
                <w:b/>
                <w:sz w:val="22"/>
                <w:szCs w:val="22"/>
                <w:highlight w:val="yellow"/>
                <w:lang w:val="en-GB" w:eastAsia="fr-FR" w:bidi="ar-SA"/>
              </w:rPr>
              <w:t>Grades</w:t>
            </w:r>
            <w:r w:rsidRPr="00B250B7">
              <w:rPr>
                <w:rFonts w:eastAsia="SimSun" w:cs="Times New Roman" w:hint="eastAsia"/>
                <w:b/>
                <w:sz w:val="22"/>
                <w:szCs w:val="22"/>
                <w:highlight w:val="yellow"/>
                <w:lang w:val="en-GB" w:eastAsia="fr-FR" w:bidi="ar-SA"/>
              </w:rPr>
              <w:t>≥</w:t>
            </w:r>
            <w:r w:rsidRPr="00B250B7">
              <w:rPr>
                <w:rFonts w:eastAsia="SimSun" w:cs="Times New Roman" w:hint="eastAsia"/>
                <w:b/>
                <w:sz w:val="22"/>
                <w:szCs w:val="22"/>
                <w:highlight w:val="yellow"/>
                <w:lang w:val="en-GB" w:eastAsia="fr-FR" w:bidi="ar-SA"/>
              </w:rPr>
              <w:t>3</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Infections and Infestations</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Herpes zoster</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Sepsis</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single" w:sz="8" w:space="0" w:color="000000"/>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Pneumonia</w:t>
            </w:r>
          </w:p>
        </w:tc>
        <w:tc>
          <w:tcPr>
            <w:tcW w:w="1732" w:type="dxa"/>
            <w:tcBorders>
              <w:top w:val="nil"/>
              <w:left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Blood and Lymphatic System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Febrile neutropenia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Leukocytosis</w:t>
            </w:r>
            <w:proofErr w:type="spellEnd"/>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Neutropenia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Pancytopenia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Thrombocytopenia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Anaemia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left w:val="single" w:sz="4" w:space="0" w:color="auto"/>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Leukopenia</w:t>
            </w:r>
          </w:p>
        </w:tc>
        <w:tc>
          <w:tcPr>
            <w:tcW w:w="1732" w:type="dxa"/>
            <w:tcBorders>
              <w:top w:val="nil"/>
              <w:left w:val="nil"/>
              <w:bottom w:val="nil"/>
              <w:right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left w:val="nil"/>
              <w:bottom w:val="nil"/>
              <w:right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left w:val="single" w:sz="4" w:space="0" w:color="auto"/>
              <w:bottom w:val="single" w:sz="4" w:space="0" w:color="auto"/>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Lymphopenia</w:t>
            </w:r>
            <w:proofErr w:type="spellEnd"/>
          </w:p>
        </w:tc>
        <w:tc>
          <w:tcPr>
            <w:tcW w:w="1732" w:type="dxa"/>
            <w:tcBorders>
              <w:top w:val="nil"/>
              <w:left w:val="nil"/>
              <w:bottom w:val="single" w:sz="4" w:space="0" w:color="auto"/>
              <w:right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left w:val="nil"/>
              <w:bottom w:val="single" w:sz="4" w:space="0" w:color="auto"/>
              <w:right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4" w:space="0" w:color="auto"/>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Metabolism and Nutrition Disorders</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Hyperglycaemia</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Hypokalaemia</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Hypomagnesaemia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Hypernatraemia</w:t>
            </w:r>
            <w:proofErr w:type="spellEnd"/>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Ketoacidosis</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Hypermagnesaemia</w:t>
            </w:r>
            <w:proofErr w:type="spellEnd"/>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Dehydration</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single" w:sz="8" w:space="0" w:color="000000"/>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Fluid retention</w:t>
            </w:r>
          </w:p>
        </w:tc>
        <w:tc>
          <w:tcPr>
            <w:tcW w:w="1732" w:type="dxa"/>
            <w:tcBorders>
              <w:top w:val="nil"/>
              <w:left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Psychiatric disorders</w:t>
            </w:r>
          </w:p>
        </w:tc>
      </w:tr>
      <w:tr w:rsidR="00B250B7" w:rsidRPr="00B250B7" w:rsidTr="00430708">
        <w:trPr>
          <w:cantSplit/>
        </w:trPr>
        <w:tc>
          <w:tcPr>
            <w:tcW w:w="3763" w:type="dxa"/>
            <w:tcBorders>
              <w:bottom w:val="single" w:sz="8" w:space="0" w:color="000000"/>
            </w:tcBorders>
            <w:shd w:val="clear" w:color="auto" w:fill="auto"/>
            <w:vAlign w:val="center"/>
          </w:tcPr>
          <w:p w:rsidR="00B250B7" w:rsidRPr="00B250B7" w:rsidRDefault="00B250B7" w:rsidP="00B250B7">
            <w:pPr>
              <w:keepNext/>
              <w:tabs>
                <w:tab w:val="left" w:pos="170"/>
                <w:tab w:val="num" w:pos="360"/>
              </w:tabs>
              <w:bidi w:val="0"/>
              <w:spacing w:before="60"/>
              <w:ind w:left="170" w:hanging="17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Confusional</w:t>
            </w:r>
            <w:proofErr w:type="spellEnd"/>
            <w:r w:rsidRPr="00B250B7">
              <w:rPr>
                <w:rFonts w:eastAsia="SimSun" w:cs="Times New Roman"/>
                <w:sz w:val="22"/>
                <w:szCs w:val="22"/>
                <w:highlight w:val="yellow"/>
                <w:lang w:val="en-GB" w:eastAsia="fr-FR" w:bidi="ar-SA"/>
              </w:rPr>
              <w:t xml:space="preserve"> state</w:t>
            </w:r>
          </w:p>
        </w:tc>
        <w:tc>
          <w:tcPr>
            <w:tcW w:w="1732" w:type="dxa"/>
            <w:tcBorders>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Nervous System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Paraesthesia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Dizziness</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Headache</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left w:val="single" w:sz="4" w:space="0" w:color="auto"/>
              <w:bottom w:val="single" w:sz="4" w:space="0" w:color="auto"/>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Convulsion</w:t>
            </w:r>
          </w:p>
        </w:tc>
        <w:tc>
          <w:tcPr>
            <w:tcW w:w="1732" w:type="dxa"/>
            <w:tcBorders>
              <w:top w:val="nil"/>
              <w:bottom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4" w:space="0" w:color="auto"/>
              <w:right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4" w:space="0" w:color="auto"/>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lastRenderedPageBreak/>
              <w:t>Eye Disorders</w:t>
            </w:r>
          </w:p>
        </w:tc>
      </w:tr>
      <w:tr w:rsidR="00B250B7" w:rsidRPr="00B250B7" w:rsidTr="00430708">
        <w:trPr>
          <w:cantSplit/>
        </w:trPr>
        <w:tc>
          <w:tcPr>
            <w:tcW w:w="3763" w:type="dxa"/>
            <w:tcBorders>
              <w:top w:val="nil"/>
              <w:bottom w:val="single" w:sz="8" w:space="0" w:color="000000"/>
              <w:right w:val="nil"/>
            </w:tcBorders>
            <w:shd w:val="clear" w:color="auto" w:fill="auto"/>
            <w:vAlign w:val="center"/>
          </w:tcPr>
          <w:p w:rsidR="00B250B7" w:rsidRPr="00B250B7" w:rsidRDefault="00B250B7" w:rsidP="00B250B7">
            <w:pPr>
              <w:keepNext/>
              <w:tabs>
                <w:tab w:val="left" w:pos="170"/>
                <w:tab w:val="num" w:pos="360"/>
              </w:tabs>
              <w:bidi w:val="0"/>
              <w:spacing w:before="60"/>
              <w:ind w:left="170" w:hanging="17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Vision blurred</w:t>
            </w:r>
          </w:p>
        </w:tc>
        <w:tc>
          <w:tcPr>
            <w:tcW w:w="1732" w:type="dxa"/>
            <w:tcBorders>
              <w:top w:val="nil"/>
              <w:left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Cardiac Disorders</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Tachycardia</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Pericardial effusion</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 xml:space="preserve">Ventricular </w:t>
            </w:r>
            <w:proofErr w:type="spellStart"/>
            <w:r w:rsidRPr="00B250B7">
              <w:rPr>
                <w:rFonts w:eastAsia="SimSun" w:cs="Times New Roman"/>
                <w:sz w:val="22"/>
                <w:szCs w:val="22"/>
                <w:highlight w:val="yellow"/>
                <w:lang w:val="en-GB" w:eastAsia="fr-FR" w:bidi="ar-SA"/>
              </w:rPr>
              <w:t>extrasystoles</w:t>
            </w:r>
            <w:proofErr w:type="spellEnd"/>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Cardiac failure</w:t>
            </w:r>
          </w:p>
        </w:tc>
        <w:tc>
          <w:tcPr>
            <w:tcW w:w="1732" w:type="dxa"/>
            <w:tcBorders>
              <w:top w:val="nil"/>
              <w:left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single" w:sz="8" w:space="0" w:color="000000"/>
              <w:right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Ventricular tachycardia</w:t>
            </w:r>
          </w:p>
        </w:tc>
        <w:tc>
          <w:tcPr>
            <w:tcW w:w="1732" w:type="dxa"/>
            <w:tcBorders>
              <w:top w:val="nil"/>
              <w:left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Vascular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Vasculitis</w:t>
            </w:r>
            <w:proofErr w:type="spellEnd"/>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Hypotension</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 xml:space="preserve">Respiratory, Thoracic and </w:t>
            </w:r>
            <w:proofErr w:type="spellStart"/>
            <w:r w:rsidRPr="00B250B7">
              <w:rPr>
                <w:rFonts w:eastAsia="SimSun" w:cs="Times New Roman"/>
                <w:b/>
                <w:sz w:val="22"/>
                <w:szCs w:val="22"/>
                <w:highlight w:val="yellow"/>
                <w:lang w:val="en-GB" w:eastAsia="fr-FR" w:bidi="ar-SA"/>
              </w:rPr>
              <w:t>Mediastinal</w:t>
            </w:r>
            <w:proofErr w:type="spellEnd"/>
            <w:r w:rsidRPr="00B250B7">
              <w:rPr>
                <w:rFonts w:eastAsia="SimSun" w:cs="Times New Roman"/>
                <w:b/>
                <w:sz w:val="22"/>
                <w:szCs w:val="22"/>
                <w:highlight w:val="yellow"/>
                <w:lang w:val="en-GB" w:eastAsia="fr-FR" w:bidi="ar-SA"/>
              </w:rPr>
              <w:t xml:space="preserve">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Differentiation syndrome</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Dyspnoea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Hypoxia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Pleural effusion</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Pleuritic</w:t>
            </w:r>
            <w:proofErr w:type="spellEnd"/>
            <w:r w:rsidRPr="00B250B7">
              <w:rPr>
                <w:rFonts w:eastAsia="SimSun" w:cs="Times New Roman"/>
                <w:sz w:val="22"/>
                <w:szCs w:val="22"/>
                <w:highlight w:val="yellow"/>
                <w:lang w:val="en-GB" w:eastAsia="fr-FR" w:bidi="ar-SA"/>
              </w:rPr>
              <w:t xml:space="preserve"> pain</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Pulmonary alveolar haemorrhage</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Pneumonitis</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c>
          <w:tcPr>
            <w:tcW w:w="1701" w:type="dxa"/>
            <w:tcBorders>
              <w:top w:val="nil"/>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Height w:val="187"/>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Gastrointestinal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Diarrhoea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Vomiting</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Nausea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Abdominal pain</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Skin and Subcutaneous Tissue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Pruritus</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Rash</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Erythema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Face oedema</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Musculoskeletal, Connective Tissue and Bone Disorders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Myalgia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Arthralgia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Bone pain</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Renal and Urinary Disorders</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Renal failure</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keepNext/>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General Disorders and Administration Site Conditions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Pyrexia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Pain</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Fatigue</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Oedema</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Chest pain</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single" w:sz="8" w:space="0" w:color="000000"/>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Chills</w:t>
            </w:r>
          </w:p>
        </w:tc>
        <w:tc>
          <w:tcPr>
            <w:tcW w:w="1732"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single" w:sz="8" w:space="0" w:color="000000"/>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7196" w:type="dxa"/>
            <w:gridSpan w:val="3"/>
            <w:tcBorders>
              <w:top w:val="single" w:sz="8" w:space="0" w:color="000000"/>
              <w:bottom w:val="nil"/>
            </w:tcBorders>
            <w:shd w:val="clear" w:color="auto" w:fill="auto"/>
            <w:vAlign w:val="center"/>
          </w:tcPr>
          <w:p w:rsidR="00B250B7" w:rsidRPr="00B250B7" w:rsidRDefault="00B250B7" w:rsidP="00B250B7">
            <w:pPr>
              <w:keepNext/>
              <w:bidi w:val="0"/>
              <w:spacing w:before="60"/>
              <w:rPr>
                <w:rFonts w:eastAsia="SimSun" w:cs="Times New Roman"/>
                <w:b/>
                <w:highlight w:val="yellow"/>
                <w:lang w:val="en-GB" w:eastAsia="fr-FR" w:bidi="ar-SA"/>
              </w:rPr>
            </w:pPr>
            <w:r w:rsidRPr="00B250B7">
              <w:rPr>
                <w:rFonts w:eastAsia="SimSun" w:cs="Times New Roman"/>
                <w:b/>
                <w:sz w:val="22"/>
                <w:szCs w:val="22"/>
                <w:highlight w:val="yellow"/>
                <w:lang w:val="en-GB" w:eastAsia="fr-FR" w:bidi="ar-SA"/>
              </w:rPr>
              <w:t>Investigations</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Alanine</w:t>
            </w:r>
            <w:proofErr w:type="spellEnd"/>
            <w:r w:rsidRPr="00B250B7">
              <w:rPr>
                <w:rFonts w:eastAsia="SimSun" w:cs="Times New Roman"/>
                <w:sz w:val="22"/>
                <w:szCs w:val="22"/>
                <w:highlight w:val="yellow"/>
                <w:lang w:val="en-GB" w:eastAsia="fr-FR" w:bidi="ar-SA"/>
              </w:rPr>
              <w:t xml:space="preserve"> amino </w:t>
            </w:r>
            <w:proofErr w:type="spellStart"/>
            <w:r w:rsidRPr="00B250B7">
              <w:rPr>
                <w:rFonts w:eastAsia="SimSun" w:cs="Times New Roman"/>
                <w:sz w:val="22"/>
                <w:szCs w:val="22"/>
                <w:highlight w:val="yellow"/>
                <w:lang w:val="en-GB" w:eastAsia="fr-FR" w:bidi="ar-SA"/>
              </w:rPr>
              <w:t>transferase</w:t>
            </w:r>
            <w:proofErr w:type="spellEnd"/>
            <w:r w:rsidRPr="00B250B7">
              <w:rPr>
                <w:rFonts w:eastAsia="SimSun" w:cs="Times New Roman"/>
                <w:sz w:val="22"/>
                <w:szCs w:val="22"/>
                <w:highlight w:val="yellow"/>
                <w:lang w:val="en-GB" w:eastAsia="fr-FR" w:bidi="ar-SA"/>
              </w:rPr>
              <w:t xml:space="preserve"> increased</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Aspartate</w:t>
            </w:r>
            <w:proofErr w:type="spellEnd"/>
            <w:r w:rsidRPr="00B250B7">
              <w:rPr>
                <w:rFonts w:eastAsia="SimSun" w:cs="Times New Roman"/>
                <w:sz w:val="22"/>
                <w:szCs w:val="22"/>
                <w:highlight w:val="yellow"/>
                <w:lang w:val="en-GB" w:eastAsia="fr-FR" w:bidi="ar-SA"/>
              </w:rPr>
              <w:t xml:space="preserve"> amino </w:t>
            </w:r>
            <w:proofErr w:type="spellStart"/>
            <w:r w:rsidRPr="00B250B7">
              <w:rPr>
                <w:rFonts w:eastAsia="SimSun" w:cs="Times New Roman"/>
                <w:sz w:val="22"/>
                <w:szCs w:val="22"/>
                <w:highlight w:val="yellow"/>
                <w:lang w:val="en-GB" w:eastAsia="fr-FR" w:bidi="ar-SA"/>
              </w:rPr>
              <w:t>transferase</w:t>
            </w:r>
            <w:proofErr w:type="spellEnd"/>
            <w:r w:rsidRPr="00B250B7">
              <w:rPr>
                <w:rFonts w:eastAsia="SimSun" w:cs="Times New Roman"/>
                <w:sz w:val="22"/>
                <w:szCs w:val="22"/>
                <w:highlight w:val="yellow"/>
                <w:lang w:val="en-GB" w:eastAsia="fr-FR" w:bidi="ar-SA"/>
              </w:rPr>
              <w:t xml:space="preserve"> increased</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Electrocardiogram QT prolonged</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Very 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proofErr w:type="spellStart"/>
            <w:r w:rsidRPr="00B250B7">
              <w:rPr>
                <w:rFonts w:eastAsia="SimSun" w:cs="Times New Roman"/>
                <w:sz w:val="22"/>
                <w:szCs w:val="22"/>
                <w:highlight w:val="yellow"/>
                <w:lang w:val="en-GB" w:eastAsia="fr-FR" w:bidi="ar-SA"/>
              </w:rPr>
              <w:t>Hyperbilirubinaemia</w:t>
            </w:r>
            <w:proofErr w:type="spellEnd"/>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 xml:space="preserve">Blood </w:t>
            </w:r>
            <w:proofErr w:type="spellStart"/>
            <w:r w:rsidRPr="00B250B7">
              <w:rPr>
                <w:rFonts w:eastAsia="SimSun" w:cs="Times New Roman"/>
                <w:sz w:val="22"/>
                <w:szCs w:val="22"/>
                <w:highlight w:val="yellow"/>
                <w:lang w:val="en-GB" w:eastAsia="fr-FR" w:bidi="ar-SA"/>
              </w:rPr>
              <w:t>creatinine</w:t>
            </w:r>
            <w:proofErr w:type="spellEnd"/>
            <w:r w:rsidRPr="00B250B7">
              <w:rPr>
                <w:rFonts w:eastAsia="SimSun" w:cs="Times New Roman"/>
                <w:sz w:val="22"/>
                <w:szCs w:val="22"/>
                <w:highlight w:val="yellow"/>
                <w:lang w:val="en-GB" w:eastAsia="fr-FR" w:bidi="ar-SA"/>
              </w:rPr>
              <w:t xml:space="preserve"> increased</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nil"/>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Weight increased</w:t>
            </w:r>
          </w:p>
        </w:tc>
        <w:tc>
          <w:tcPr>
            <w:tcW w:w="1732"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Common</w:t>
            </w:r>
          </w:p>
        </w:tc>
        <w:tc>
          <w:tcPr>
            <w:tcW w:w="1701" w:type="dxa"/>
            <w:tcBorders>
              <w:top w:val="nil"/>
              <w:bottom w:val="nil"/>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p>
        </w:tc>
      </w:tr>
      <w:tr w:rsidR="00B250B7" w:rsidRPr="00B250B7" w:rsidTr="00430708">
        <w:trPr>
          <w:cantSplit/>
        </w:trPr>
        <w:tc>
          <w:tcPr>
            <w:tcW w:w="3763" w:type="dxa"/>
            <w:tcBorders>
              <w:top w:val="nil"/>
              <w:bottom w:val="single" w:sz="4" w:space="0" w:color="auto"/>
            </w:tcBorders>
            <w:shd w:val="clear" w:color="auto" w:fill="auto"/>
            <w:vAlign w:val="center"/>
          </w:tcPr>
          <w:p w:rsidR="00B250B7" w:rsidRPr="00B250B7" w:rsidRDefault="00B250B7" w:rsidP="00B250B7">
            <w:pPr>
              <w:bidi w:val="0"/>
              <w:rPr>
                <w:rFonts w:eastAsia="SimSun" w:cs="Times New Roman"/>
                <w:highlight w:val="yellow"/>
                <w:lang w:val="en-GB" w:eastAsia="fr-FR" w:bidi="ar-SA"/>
              </w:rPr>
            </w:pPr>
            <w:r w:rsidRPr="00B250B7">
              <w:rPr>
                <w:rFonts w:eastAsia="SimSun" w:cs="Times New Roman"/>
                <w:sz w:val="22"/>
                <w:szCs w:val="22"/>
                <w:highlight w:val="yellow"/>
                <w:lang w:eastAsia="fr-FR" w:bidi="ar-SA"/>
              </w:rPr>
              <w:lastRenderedPageBreak/>
              <w:t>Gamma-</w:t>
            </w:r>
            <w:proofErr w:type="spellStart"/>
            <w:r w:rsidRPr="00B250B7">
              <w:rPr>
                <w:rFonts w:eastAsia="SimSun" w:cs="Times New Roman"/>
                <w:sz w:val="22"/>
                <w:szCs w:val="22"/>
                <w:highlight w:val="yellow"/>
                <w:lang w:eastAsia="fr-FR" w:bidi="ar-SA"/>
              </w:rPr>
              <w:t>glutamyltransferase</w:t>
            </w:r>
            <w:proofErr w:type="spellEnd"/>
            <w:r w:rsidRPr="00B250B7">
              <w:rPr>
                <w:rFonts w:eastAsia="SimSun" w:cs="Times New Roman"/>
                <w:sz w:val="22"/>
                <w:szCs w:val="22"/>
                <w:highlight w:val="yellow"/>
                <w:lang w:eastAsia="fr-FR" w:bidi="ar-SA"/>
              </w:rPr>
              <w:t xml:space="preserve"> increased*</w:t>
            </w:r>
          </w:p>
        </w:tc>
        <w:tc>
          <w:tcPr>
            <w:tcW w:w="1732" w:type="dxa"/>
            <w:tcBorders>
              <w:top w:val="nil"/>
              <w:bottom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r w:rsidRPr="00B250B7">
              <w:rPr>
                <w:rFonts w:eastAsia="SimSun" w:cs="Times New Roman"/>
                <w:sz w:val="22"/>
                <w:szCs w:val="22"/>
                <w:highlight w:val="yellow"/>
                <w:lang w:eastAsia="fr-FR" w:bidi="ar-SA"/>
              </w:rPr>
              <w:t>*</w:t>
            </w:r>
          </w:p>
        </w:tc>
        <w:tc>
          <w:tcPr>
            <w:tcW w:w="1701" w:type="dxa"/>
            <w:tcBorders>
              <w:top w:val="nil"/>
              <w:bottom w:val="single" w:sz="4" w:space="0" w:color="auto"/>
            </w:tcBorders>
            <w:shd w:val="clear" w:color="auto" w:fill="auto"/>
            <w:vAlign w:val="center"/>
          </w:tcPr>
          <w:p w:rsidR="00B250B7" w:rsidRPr="00B250B7" w:rsidRDefault="00B250B7" w:rsidP="00B250B7">
            <w:pPr>
              <w:bidi w:val="0"/>
              <w:jc w:val="center"/>
              <w:rPr>
                <w:rFonts w:eastAsia="SimSun" w:cs="Times New Roman"/>
                <w:highlight w:val="yellow"/>
                <w:lang w:val="en-GB" w:eastAsia="fr-FR" w:bidi="ar-SA"/>
              </w:rPr>
            </w:pPr>
            <w:r w:rsidRPr="00B250B7">
              <w:rPr>
                <w:rFonts w:eastAsia="SimSun" w:cs="Times New Roman"/>
                <w:sz w:val="22"/>
                <w:szCs w:val="22"/>
                <w:highlight w:val="yellow"/>
                <w:lang w:val="en-GB" w:eastAsia="fr-FR" w:bidi="ar-SA"/>
              </w:rPr>
              <w:t>Not known</w:t>
            </w:r>
            <w:r w:rsidRPr="00B250B7">
              <w:rPr>
                <w:rFonts w:eastAsia="SimSun" w:cs="Times New Roman"/>
                <w:sz w:val="22"/>
                <w:szCs w:val="22"/>
                <w:highlight w:val="yellow"/>
                <w:lang w:eastAsia="fr-FR" w:bidi="ar-SA"/>
              </w:rPr>
              <w:t>*</w:t>
            </w:r>
          </w:p>
        </w:tc>
      </w:tr>
    </w:tbl>
    <w:p w:rsidR="00EB324D" w:rsidRDefault="00EB324D">
      <w:pPr>
        <w:rPr>
          <w:rtl/>
        </w:rPr>
      </w:pPr>
    </w:p>
    <w:p w:rsidR="00EB324D" w:rsidRDefault="00EB324D">
      <w:pPr>
        <w:rPr>
          <w:rtl/>
        </w:rPr>
      </w:pPr>
    </w:p>
    <w:p w:rsidR="00EB324D" w:rsidRDefault="00EB324D">
      <w:pPr>
        <w:rPr>
          <w:rtl/>
        </w:rPr>
      </w:pPr>
    </w:p>
    <w:p w:rsidR="00EB324D" w:rsidRDefault="00EB324D">
      <w:pPr>
        <w:rPr>
          <w:rtl/>
        </w:rPr>
      </w:pPr>
    </w:p>
    <w:p w:rsidR="00EB324D" w:rsidRDefault="00EB324D">
      <w:pPr>
        <w:rPr>
          <w:rtl/>
        </w:rPr>
      </w:pP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96"/>
        <w:gridCol w:w="4252"/>
      </w:tblGrid>
      <w:tr w:rsidR="006A4844" w:rsidRPr="000E5AEB" w:rsidTr="00EA6FC5">
        <w:trPr>
          <w:cantSplit/>
          <w:jc w:val="center"/>
        </w:trPr>
        <w:tc>
          <w:tcPr>
            <w:tcW w:w="10347" w:type="dxa"/>
            <w:gridSpan w:val="3"/>
            <w:tcBorders>
              <w:bottom w:val="single" w:sz="4" w:space="0" w:color="auto"/>
              <w:right w:val="single" w:sz="4" w:space="0" w:color="auto"/>
            </w:tcBorders>
            <w:shd w:val="pct12" w:color="auto" w:fill="FFFFFF"/>
          </w:tcPr>
          <w:p w:rsidR="006A4844" w:rsidRPr="000E5AEB" w:rsidRDefault="006A4844" w:rsidP="00EA6FC5">
            <w:pPr>
              <w:jc w:val="center"/>
              <w:rPr>
                <w:rFonts w:cs="Times New Roman"/>
                <w:b/>
                <w:bCs/>
                <w:rtl/>
              </w:rPr>
            </w:pPr>
          </w:p>
          <w:p w:rsidR="006A4844" w:rsidRPr="000E5AEB" w:rsidRDefault="006A4844" w:rsidP="00EA6FC5">
            <w:pPr>
              <w:jc w:val="center"/>
              <w:rPr>
                <w:rFonts w:cs="Times New Roman"/>
                <w:b/>
                <w:bCs/>
                <w:rtl/>
              </w:rPr>
            </w:pPr>
            <w:r w:rsidRPr="000E5AEB">
              <w:rPr>
                <w:rFonts w:cs="Times New Roman"/>
                <w:b/>
                <w:bCs/>
                <w:sz w:val="22"/>
                <w:szCs w:val="22"/>
                <w:rtl/>
              </w:rPr>
              <w:t>פרטים על השינוי/ים המבוקש/ים</w:t>
            </w:r>
            <w:r>
              <w:rPr>
                <w:rFonts w:cs="Times New Roman" w:hint="cs"/>
                <w:b/>
                <w:bCs/>
                <w:sz w:val="22"/>
                <w:szCs w:val="22"/>
                <w:rtl/>
              </w:rPr>
              <w:t xml:space="preserve"> - המשך</w:t>
            </w:r>
          </w:p>
        </w:tc>
      </w:tr>
      <w:tr w:rsidR="006A4844" w:rsidRPr="000E5AEB" w:rsidTr="00EA6FC5">
        <w:trPr>
          <w:jc w:val="center"/>
        </w:trPr>
        <w:tc>
          <w:tcPr>
            <w:tcW w:w="1799" w:type="dxa"/>
            <w:tcBorders>
              <w:top w:val="single" w:sz="4" w:space="0" w:color="auto"/>
              <w:bottom w:val="single" w:sz="4" w:space="0" w:color="auto"/>
            </w:tcBorders>
          </w:tcPr>
          <w:p w:rsidR="006A4844" w:rsidRPr="000E5AEB" w:rsidRDefault="006A4844" w:rsidP="00EA6FC5">
            <w:pPr>
              <w:jc w:val="center"/>
              <w:rPr>
                <w:rFonts w:cs="Times New Roman"/>
                <w:b/>
                <w:bCs/>
                <w:rtl/>
              </w:rPr>
            </w:pPr>
          </w:p>
          <w:p w:rsidR="006A4844" w:rsidRPr="000E5AEB" w:rsidRDefault="006A4844" w:rsidP="00EA6FC5">
            <w:pPr>
              <w:jc w:val="center"/>
              <w:rPr>
                <w:rFonts w:cs="Times New Roman"/>
                <w:b/>
                <w:bCs/>
                <w:rtl/>
              </w:rPr>
            </w:pPr>
            <w:r w:rsidRPr="000E5AEB">
              <w:rPr>
                <w:rFonts w:cs="Times New Roman"/>
                <w:b/>
                <w:bCs/>
                <w:sz w:val="22"/>
                <w:szCs w:val="22"/>
                <w:rtl/>
              </w:rPr>
              <w:t>פרק בעלון</w:t>
            </w:r>
          </w:p>
          <w:p w:rsidR="006A4844" w:rsidRPr="000E5AEB" w:rsidRDefault="006A4844" w:rsidP="00EA6FC5">
            <w:pPr>
              <w:jc w:val="center"/>
              <w:rPr>
                <w:rFonts w:cs="Times New Roman"/>
                <w:b/>
                <w:bCs/>
                <w:rtl/>
              </w:rPr>
            </w:pPr>
          </w:p>
        </w:tc>
        <w:tc>
          <w:tcPr>
            <w:tcW w:w="4296" w:type="dxa"/>
            <w:tcBorders>
              <w:top w:val="single" w:sz="4" w:space="0" w:color="auto"/>
              <w:bottom w:val="single" w:sz="4" w:space="0" w:color="auto"/>
            </w:tcBorders>
          </w:tcPr>
          <w:p w:rsidR="006A4844" w:rsidRPr="000E5AEB" w:rsidRDefault="006A4844" w:rsidP="00EA6FC5">
            <w:pPr>
              <w:jc w:val="center"/>
              <w:rPr>
                <w:rFonts w:cs="Times New Roman"/>
                <w:b/>
                <w:bCs/>
                <w:rtl/>
              </w:rPr>
            </w:pPr>
          </w:p>
          <w:p w:rsidR="006A4844" w:rsidRPr="000E5AEB" w:rsidRDefault="006A4844" w:rsidP="00EA6FC5">
            <w:pPr>
              <w:jc w:val="center"/>
              <w:rPr>
                <w:rFonts w:cs="Times New Roman"/>
                <w:b/>
                <w:bCs/>
                <w:rtl/>
              </w:rPr>
            </w:pPr>
            <w:r w:rsidRPr="000E5AEB">
              <w:rPr>
                <w:rFonts w:cs="Times New Roman"/>
                <w:b/>
                <w:bCs/>
                <w:sz w:val="22"/>
                <w:szCs w:val="22"/>
                <w:rtl/>
              </w:rPr>
              <w:t>טקסט נוכחי</w:t>
            </w:r>
          </w:p>
        </w:tc>
        <w:tc>
          <w:tcPr>
            <w:tcW w:w="4252" w:type="dxa"/>
            <w:tcBorders>
              <w:top w:val="single" w:sz="4" w:space="0" w:color="auto"/>
              <w:bottom w:val="single" w:sz="4" w:space="0" w:color="auto"/>
              <w:right w:val="single" w:sz="4" w:space="0" w:color="auto"/>
            </w:tcBorders>
          </w:tcPr>
          <w:p w:rsidR="006A4844" w:rsidRPr="000E5AEB" w:rsidRDefault="006A4844" w:rsidP="00EA6FC5">
            <w:pPr>
              <w:jc w:val="center"/>
              <w:rPr>
                <w:rFonts w:cs="Times New Roman"/>
                <w:b/>
                <w:bCs/>
                <w:rtl/>
              </w:rPr>
            </w:pPr>
          </w:p>
          <w:p w:rsidR="006A4844" w:rsidRPr="000E5AEB" w:rsidRDefault="006A4844" w:rsidP="00EA6FC5">
            <w:pPr>
              <w:jc w:val="center"/>
              <w:rPr>
                <w:rFonts w:cs="Times New Roman"/>
                <w:b/>
                <w:bCs/>
                <w:rtl/>
              </w:rPr>
            </w:pPr>
            <w:r w:rsidRPr="000E5AEB">
              <w:rPr>
                <w:rFonts w:cs="Times New Roman"/>
                <w:b/>
                <w:bCs/>
                <w:sz w:val="22"/>
                <w:szCs w:val="22"/>
                <w:rtl/>
              </w:rPr>
              <w:t>טקסט חדש</w:t>
            </w:r>
          </w:p>
        </w:tc>
      </w:tr>
      <w:tr w:rsidR="006A4844" w:rsidRPr="00AE020E" w:rsidTr="00EA6FC5">
        <w:trPr>
          <w:jc w:val="center"/>
        </w:trPr>
        <w:tc>
          <w:tcPr>
            <w:tcW w:w="1799" w:type="dxa"/>
            <w:tcBorders>
              <w:top w:val="single" w:sz="4" w:space="0" w:color="auto"/>
              <w:bottom w:val="single" w:sz="4" w:space="0" w:color="auto"/>
            </w:tcBorders>
          </w:tcPr>
          <w:p w:rsidR="006A4844" w:rsidRPr="000E5AEB" w:rsidRDefault="006A4844" w:rsidP="006A4844">
            <w:pPr>
              <w:bidi w:val="0"/>
              <w:outlineLvl w:val="0"/>
              <w:rPr>
                <w:rFonts w:cs="Times New Roman"/>
                <w:b/>
                <w:bCs/>
              </w:rPr>
            </w:pPr>
            <w:r w:rsidRPr="000E5AEB">
              <w:rPr>
                <w:rFonts w:cs="Times New Roman"/>
                <w:b/>
                <w:noProof/>
                <w:sz w:val="22"/>
                <w:szCs w:val="22"/>
              </w:rPr>
              <w:t>4.</w:t>
            </w:r>
            <w:r>
              <w:rPr>
                <w:rFonts w:cs="Times New Roman" w:hint="cs"/>
                <w:bCs/>
                <w:noProof/>
                <w:sz w:val="22"/>
                <w:szCs w:val="22"/>
                <w:rtl/>
              </w:rPr>
              <w:t>8</w:t>
            </w:r>
            <w:r w:rsidRPr="000E5AEB">
              <w:rPr>
                <w:rFonts w:cs="Times New Roman"/>
                <w:b/>
                <w:noProof/>
                <w:sz w:val="22"/>
                <w:szCs w:val="22"/>
              </w:rPr>
              <w:t xml:space="preserve"> </w:t>
            </w:r>
            <w:r>
              <w:rPr>
                <w:rFonts w:cs="Times New Roman"/>
                <w:b/>
                <w:noProof/>
                <w:sz w:val="22"/>
                <w:szCs w:val="22"/>
              </w:rPr>
              <w:t>Undesirable effects</w:t>
            </w:r>
          </w:p>
        </w:tc>
        <w:tc>
          <w:tcPr>
            <w:tcW w:w="4296" w:type="dxa"/>
            <w:tcBorders>
              <w:top w:val="single" w:sz="4" w:space="0" w:color="auto"/>
              <w:bottom w:val="single" w:sz="4" w:space="0" w:color="auto"/>
            </w:tcBorders>
          </w:tcPr>
          <w:p w:rsidR="006A4844" w:rsidRDefault="00503091" w:rsidP="00EA6FC5">
            <w:pPr>
              <w:bidi w:val="0"/>
              <w:rPr>
                <w:rFonts w:cs="Times New Roman"/>
                <w:b/>
                <w:bCs/>
              </w:rPr>
            </w:pPr>
            <w:r>
              <w:rPr>
                <w:rFonts w:cs="Times New Roman" w:hint="cs"/>
                <w:b/>
                <w:bCs/>
                <w:rtl/>
              </w:rPr>
              <w:t>לא קיים.</w:t>
            </w:r>
          </w:p>
          <w:p w:rsidR="00503091" w:rsidRDefault="00503091" w:rsidP="00503091">
            <w:pPr>
              <w:bidi w:val="0"/>
              <w:rPr>
                <w:rFonts w:cs="Times New Roman"/>
                <w:b/>
                <w:bCs/>
              </w:rPr>
            </w:pPr>
          </w:p>
          <w:p w:rsidR="00503091" w:rsidRDefault="00503091" w:rsidP="00503091">
            <w:pPr>
              <w:bidi w:val="0"/>
              <w:rPr>
                <w:rFonts w:cs="Times New Roman"/>
                <w:b/>
                <w:bCs/>
              </w:rPr>
            </w:pPr>
          </w:p>
          <w:p w:rsidR="00503091" w:rsidRDefault="00503091" w:rsidP="00503091">
            <w:pPr>
              <w:bidi w:val="0"/>
              <w:rPr>
                <w:rFonts w:cs="Times New Roman"/>
                <w:b/>
                <w:bCs/>
              </w:rPr>
            </w:pPr>
          </w:p>
          <w:p w:rsidR="00503091" w:rsidRDefault="00503091" w:rsidP="00503091">
            <w:pPr>
              <w:bidi w:val="0"/>
              <w:rPr>
                <w:rFonts w:cs="Times New Roman"/>
                <w:b/>
                <w:bCs/>
              </w:rPr>
            </w:pPr>
          </w:p>
          <w:p w:rsidR="00503091" w:rsidRDefault="00503091" w:rsidP="00503091">
            <w:pPr>
              <w:bidi w:val="0"/>
              <w:rPr>
                <w:rFonts w:cs="Times New Roman"/>
                <w:b/>
                <w:bCs/>
                <w:lang w:val="en-GB"/>
              </w:rPr>
            </w:pPr>
            <w:r w:rsidRPr="00503091">
              <w:rPr>
                <w:rFonts w:eastAsiaTheme="minorHAnsi" w:cstheme="minorBidi"/>
                <w:sz w:val="22"/>
                <w:szCs w:val="22"/>
                <w:lang w:val="en-GB" w:eastAsia="en-US"/>
              </w:rPr>
              <w:t xml:space="preserve">During TRISENOX treatment, </w:t>
            </w:r>
            <w:r w:rsidRPr="00503091">
              <w:rPr>
                <w:rFonts w:cs="Times New Roman"/>
                <w:sz w:val="22"/>
                <w:szCs w:val="20"/>
                <w:lang w:val="en-GB" w:eastAsia="en-US" w:bidi="ar-SA"/>
              </w:rPr>
              <w:t>13</w:t>
            </w:r>
            <w:r w:rsidRPr="00503091">
              <w:rPr>
                <w:rFonts w:eastAsiaTheme="minorHAnsi" w:cstheme="minorBidi"/>
                <w:sz w:val="22"/>
                <w:szCs w:val="22"/>
                <w:lang w:val="en-GB" w:eastAsia="en-US"/>
              </w:rPr>
              <w:t xml:space="preserve"> of the 52 patients in the APL studies had one or more symptoms of</w:t>
            </w:r>
            <w:r w:rsidRPr="00503091">
              <w:rPr>
                <w:rFonts w:cs="Times New Roman"/>
                <w:sz w:val="22"/>
                <w:szCs w:val="20"/>
                <w:lang w:val="en-GB" w:eastAsia="en-US" w:bidi="ar-SA"/>
              </w:rPr>
              <w:t xml:space="preserve"> </w:t>
            </w:r>
            <w:r w:rsidRPr="00503091">
              <w:rPr>
                <w:rFonts w:eastAsiaTheme="minorHAnsi" w:cstheme="minorBidi"/>
                <w:sz w:val="22"/>
                <w:szCs w:val="22"/>
                <w:lang w:val="en-GB" w:eastAsia="en-US"/>
              </w:rPr>
              <w:t xml:space="preserve">APL differentiation syndrome, characterised by fever, </w:t>
            </w:r>
            <w:r w:rsidRPr="00503091">
              <w:rPr>
                <w:rFonts w:cs="Times New Roman"/>
                <w:sz w:val="22"/>
                <w:szCs w:val="20"/>
                <w:lang w:val="en-GB" w:eastAsia="en-US" w:bidi="ar-SA"/>
              </w:rPr>
              <w:t>dyspnoea</w:t>
            </w:r>
            <w:r w:rsidRPr="00503091">
              <w:rPr>
                <w:rFonts w:eastAsiaTheme="minorHAnsi" w:cstheme="minorBidi"/>
                <w:sz w:val="22"/>
                <w:szCs w:val="22"/>
                <w:lang w:val="en-GB" w:eastAsia="en-US"/>
              </w:rPr>
              <w:t>, weight gain, pulmonary infiltrates and</w:t>
            </w:r>
            <w:r w:rsidRPr="00503091">
              <w:rPr>
                <w:rFonts w:cs="Times New Roman"/>
                <w:sz w:val="22"/>
                <w:szCs w:val="20"/>
                <w:lang w:val="en-GB" w:eastAsia="en-US" w:bidi="ar-SA"/>
              </w:rPr>
              <w:t xml:space="preserve"> </w:t>
            </w:r>
            <w:r w:rsidRPr="00503091">
              <w:rPr>
                <w:rFonts w:eastAsiaTheme="minorHAnsi" w:cstheme="minorBidi"/>
                <w:sz w:val="22"/>
                <w:szCs w:val="22"/>
                <w:lang w:val="en-GB" w:eastAsia="en-US"/>
              </w:rPr>
              <w:t xml:space="preserve">pleural or pericardial effusions, with or without </w:t>
            </w:r>
            <w:proofErr w:type="spellStart"/>
            <w:r w:rsidRPr="00503091">
              <w:rPr>
                <w:rFonts w:eastAsiaTheme="minorHAnsi" w:cstheme="minorBidi"/>
                <w:sz w:val="22"/>
                <w:szCs w:val="22"/>
                <w:lang w:val="en-GB" w:eastAsia="en-US"/>
              </w:rPr>
              <w:t>leukocytosis</w:t>
            </w:r>
            <w:proofErr w:type="spellEnd"/>
            <w:r w:rsidRPr="00503091">
              <w:rPr>
                <w:rFonts w:eastAsiaTheme="minorHAnsi" w:cstheme="minorBidi"/>
                <w:sz w:val="22"/>
                <w:szCs w:val="22"/>
                <w:lang w:val="en-GB" w:eastAsia="en-US"/>
              </w:rPr>
              <w:t xml:space="preserve"> (see </w:t>
            </w:r>
            <w:r w:rsidRPr="00503091">
              <w:rPr>
                <w:rFonts w:cs="Times New Roman"/>
                <w:sz w:val="22"/>
                <w:szCs w:val="20"/>
                <w:lang w:val="en-GB" w:eastAsia="en-US" w:bidi="ar-SA"/>
              </w:rPr>
              <w:t>section</w:t>
            </w:r>
            <w:r w:rsidRPr="00503091">
              <w:rPr>
                <w:rFonts w:eastAsiaTheme="minorHAnsi" w:cstheme="minorBidi"/>
                <w:sz w:val="22"/>
                <w:szCs w:val="22"/>
                <w:lang w:val="en-GB" w:eastAsia="en-US"/>
              </w:rPr>
              <w:t xml:space="preserve"> 4.4).</w:t>
            </w:r>
          </w:p>
          <w:p w:rsidR="00FC277F" w:rsidRDefault="00FC277F" w:rsidP="00FC277F">
            <w:pPr>
              <w:bidi w:val="0"/>
              <w:rPr>
                <w:rFonts w:cs="Times New Roman"/>
                <w:b/>
                <w:bCs/>
                <w:lang w:val="en-GB"/>
              </w:rPr>
            </w:pPr>
          </w:p>
          <w:p w:rsidR="00FC277F" w:rsidRDefault="00FC277F" w:rsidP="00FC277F">
            <w:pPr>
              <w:bidi w:val="0"/>
              <w:rPr>
                <w:rFonts w:cs="Times New Roman"/>
                <w:b/>
                <w:bCs/>
                <w:lang w:val="en-GB"/>
              </w:rPr>
            </w:pPr>
          </w:p>
          <w:p w:rsidR="00FC277F" w:rsidRPr="00FC277F" w:rsidRDefault="001B49CB" w:rsidP="00FC277F">
            <w:pPr>
              <w:bidi w:val="0"/>
              <w:spacing w:before="84" w:line="360" w:lineRule="auto"/>
              <w:rPr>
                <w:rFonts w:eastAsiaTheme="minorHAnsi" w:cstheme="minorBidi"/>
                <w:lang w:val="en-GB" w:eastAsia="en-US"/>
              </w:rPr>
            </w:pPr>
            <w:r w:rsidRPr="001B49CB">
              <w:rPr>
                <w:rFonts w:eastAsiaTheme="minorHAnsi" w:cstheme="minorBidi"/>
                <w:sz w:val="22"/>
                <w:szCs w:val="22"/>
                <w:lang w:val="en-GB" w:eastAsia="en-US"/>
              </w:rPr>
              <w:pict>
                <v:group id="_x0000_s1026" style="position:absolute;margin-left:460pt;margin-top:3.6pt;width:.1pt;height:44.3pt;z-index:-251657216;mso-position-horizontal-relative:page" coordorigin="9200,72" coordsize="2,886">
                  <v:shape id="_x0000_s1027" style="position:absolute;left:9200;top:72;width:2;height:886" coordorigin="9200,72" coordsize="0,886" path="m9200,958r,-886e" filled="f" strokeweight=".25397mm">
                    <v:path arrowok="t"/>
                  </v:shape>
                  <w10:wrap anchorx="page"/>
                </v:group>
              </w:pict>
            </w:r>
            <w:r w:rsidR="00FC277F" w:rsidRPr="00FC277F">
              <w:rPr>
                <w:rFonts w:eastAsiaTheme="minorHAnsi" w:cstheme="minorBidi"/>
                <w:sz w:val="22"/>
                <w:szCs w:val="22"/>
                <w:lang w:val="en-GB" w:eastAsia="en-US"/>
              </w:rPr>
              <w:t xml:space="preserve">The following adverse events have been identified during the post-approval use of TRISENOX and have been included </w:t>
            </w:r>
            <w:proofErr w:type="gramStart"/>
            <w:r w:rsidR="00FC277F" w:rsidRPr="00FC277F">
              <w:rPr>
                <w:rFonts w:eastAsiaTheme="minorHAnsi" w:cstheme="minorBidi"/>
                <w:sz w:val="22"/>
                <w:szCs w:val="22"/>
                <w:lang w:val="en-GB" w:eastAsia="en-US"/>
              </w:rPr>
              <w:t>following  consideration</w:t>
            </w:r>
            <w:proofErr w:type="gramEnd"/>
            <w:r w:rsidR="00FC277F" w:rsidRPr="00FC277F">
              <w:rPr>
                <w:rFonts w:eastAsiaTheme="minorHAnsi" w:cstheme="minorBidi"/>
                <w:sz w:val="22"/>
                <w:szCs w:val="22"/>
                <w:lang w:val="en-GB" w:eastAsia="en-US"/>
              </w:rPr>
              <w:t xml:space="preserve">  of the observed frequency, seriousness and possible causal relationship to TRISENOX. All occurred with a frequency of uncommon (≥1/1,000 to &lt;1/100).</w:t>
            </w:r>
          </w:p>
          <w:p w:rsidR="00FC277F" w:rsidRDefault="00FC277F" w:rsidP="00FC277F">
            <w:pPr>
              <w:bidi w:val="0"/>
              <w:rPr>
                <w:rFonts w:cs="Times New Roman"/>
                <w:b/>
                <w:bCs/>
                <w:lang w:val="en-GB"/>
              </w:rPr>
            </w:pPr>
          </w:p>
          <w:p w:rsidR="00FC277F" w:rsidRPr="00503091" w:rsidRDefault="00FC277F" w:rsidP="00FC277F">
            <w:pPr>
              <w:bidi w:val="0"/>
              <w:rPr>
                <w:rFonts w:cs="Times New Roman"/>
                <w:b/>
                <w:bCs/>
                <w:lang w:val="en-GB"/>
              </w:rPr>
            </w:pPr>
          </w:p>
        </w:tc>
        <w:tc>
          <w:tcPr>
            <w:tcW w:w="4252" w:type="dxa"/>
            <w:tcBorders>
              <w:top w:val="single" w:sz="4" w:space="0" w:color="auto"/>
              <w:bottom w:val="single" w:sz="4" w:space="0" w:color="auto"/>
              <w:right w:val="single" w:sz="4" w:space="0" w:color="auto"/>
            </w:tcBorders>
          </w:tcPr>
          <w:p w:rsidR="00503091" w:rsidRPr="00503091" w:rsidRDefault="00503091" w:rsidP="00503091">
            <w:pPr>
              <w:tabs>
                <w:tab w:val="left" w:pos="567"/>
              </w:tabs>
              <w:bidi w:val="0"/>
              <w:rPr>
                <w:rFonts w:cs="Times New Roman"/>
                <w:szCs w:val="20"/>
                <w:lang w:val="en-GB" w:eastAsia="en-US" w:bidi="ar-SA"/>
              </w:rPr>
            </w:pPr>
            <w:r w:rsidRPr="00503091">
              <w:rPr>
                <w:rFonts w:eastAsia="SimSun" w:cs="Times New Roman"/>
                <w:sz w:val="22"/>
                <w:szCs w:val="22"/>
                <w:highlight w:val="yellow"/>
                <w:lang w:eastAsia="fr-FR" w:bidi="ar-SA"/>
              </w:rPr>
              <w:t>*</w:t>
            </w:r>
            <w:r w:rsidRPr="00503091">
              <w:rPr>
                <w:rFonts w:eastAsia="SimSun" w:cs="Times New Roman"/>
                <w:i/>
                <w:sz w:val="22"/>
                <w:szCs w:val="22"/>
                <w:highlight w:val="yellow"/>
                <w:lang w:eastAsia="fr-FR" w:bidi="ar-SA"/>
              </w:rPr>
              <w:t xml:space="preserve">In the CALGB study C9710, </w:t>
            </w:r>
            <w:r w:rsidRPr="00503091">
              <w:rPr>
                <w:rFonts w:cs="Times New Roman"/>
                <w:i/>
                <w:sz w:val="22"/>
                <w:szCs w:val="22"/>
                <w:highlight w:val="yellow"/>
                <w:lang w:val="en-GB" w:eastAsia="en-US" w:bidi="ar-SA"/>
              </w:rPr>
              <w:t>2 cases of grade ≥3 increased GGT were reported out of the 200 patients who received TRISENOX consolidation cycles (cycle 1 and cycle 2) versus none in the control arm.</w:t>
            </w:r>
            <w:r w:rsidRPr="00503091">
              <w:rPr>
                <w:rFonts w:cs="Times New Roman"/>
                <w:i/>
                <w:sz w:val="22"/>
                <w:szCs w:val="22"/>
                <w:lang w:val="en-GB" w:eastAsia="en-US" w:bidi="ar-SA"/>
              </w:rPr>
              <w:t xml:space="preserve"> </w:t>
            </w:r>
          </w:p>
          <w:p w:rsidR="00503091" w:rsidRPr="00503091" w:rsidRDefault="00503091" w:rsidP="00503091">
            <w:pPr>
              <w:tabs>
                <w:tab w:val="left" w:pos="567"/>
              </w:tabs>
              <w:bidi w:val="0"/>
              <w:rPr>
                <w:rFonts w:eastAsiaTheme="minorHAnsi" w:cstheme="minorBidi"/>
                <w:lang w:val="en-GB" w:eastAsia="en-US"/>
              </w:rPr>
            </w:pPr>
          </w:p>
          <w:p w:rsidR="006A4844" w:rsidRDefault="00503091" w:rsidP="00503091">
            <w:pPr>
              <w:jc w:val="right"/>
              <w:rPr>
                <w:rFonts w:eastAsiaTheme="minorHAnsi" w:cstheme="minorBidi"/>
                <w:lang w:val="en-GB" w:eastAsia="en-US"/>
              </w:rPr>
            </w:pPr>
            <w:r w:rsidRPr="00503091">
              <w:rPr>
                <w:rFonts w:eastAsiaTheme="minorHAnsi" w:cstheme="minorBidi"/>
                <w:sz w:val="22"/>
                <w:szCs w:val="22"/>
                <w:lang w:val="en-GB" w:eastAsia="en-US"/>
              </w:rPr>
              <w:t xml:space="preserve">During TRISENOX treatment, </w:t>
            </w:r>
            <w:r w:rsidRPr="00503091">
              <w:rPr>
                <w:rFonts w:cs="Times New Roman"/>
                <w:sz w:val="22"/>
                <w:szCs w:val="20"/>
                <w:highlight w:val="yellow"/>
                <w:lang w:val="en-GB" w:eastAsia="en-US" w:bidi="ar-SA"/>
              </w:rPr>
              <w:t>14</w:t>
            </w:r>
            <w:r w:rsidRPr="00503091">
              <w:rPr>
                <w:rFonts w:eastAsiaTheme="minorHAnsi" w:cstheme="minorBidi"/>
                <w:sz w:val="22"/>
                <w:szCs w:val="22"/>
                <w:lang w:val="en-GB" w:eastAsia="en-US"/>
              </w:rPr>
              <w:t xml:space="preserve"> of the 52 patients in the APL studies had one or more symptoms of</w:t>
            </w:r>
            <w:r w:rsidRPr="00503091">
              <w:rPr>
                <w:rFonts w:cs="Times New Roman"/>
                <w:sz w:val="22"/>
                <w:szCs w:val="20"/>
                <w:lang w:val="en-GB" w:eastAsia="en-US" w:bidi="ar-SA"/>
              </w:rPr>
              <w:t xml:space="preserve"> </w:t>
            </w:r>
            <w:r w:rsidRPr="00503091">
              <w:rPr>
                <w:rFonts w:eastAsiaTheme="minorHAnsi" w:cstheme="minorBidi"/>
                <w:sz w:val="22"/>
                <w:szCs w:val="22"/>
                <w:lang w:val="en-GB" w:eastAsia="en-US"/>
              </w:rPr>
              <w:t xml:space="preserve">APL differentiation syndrome, characterised by fever, </w:t>
            </w:r>
            <w:r w:rsidRPr="00503091">
              <w:rPr>
                <w:rFonts w:cs="Times New Roman"/>
                <w:sz w:val="22"/>
                <w:szCs w:val="20"/>
                <w:lang w:val="en-GB" w:eastAsia="en-US" w:bidi="ar-SA"/>
              </w:rPr>
              <w:t>dyspnoea</w:t>
            </w:r>
            <w:r w:rsidRPr="00503091">
              <w:rPr>
                <w:rFonts w:eastAsiaTheme="minorHAnsi" w:cstheme="minorBidi"/>
                <w:sz w:val="22"/>
                <w:szCs w:val="22"/>
                <w:lang w:val="en-GB" w:eastAsia="en-US"/>
              </w:rPr>
              <w:t>, weight gain, pulmonary infiltrates and</w:t>
            </w:r>
            <w:r w:rsidRPr="00503091">
              <w:rPr>
                <w:rFonts w:cs="Times New Roman"/>
                <w:sz w:val="22"/>
                <w:szCs w:val="20"/>
                <w:lang w:val="en-GB" w:eastAsia="en-US" w:bidi="ar-SA"/>
              </w:rPr>
              <w:t xml:space="preserve"> </w:t>
            </w:r>
            <w:r w:rsidRPr="00503091">
              <w:rPr>
                <w:rFonts w:eastAsiaTheme="minorHAnsi" w:cstheme="minorBidi"/>
                <w:sz w:val="22"/>
                <w:szCs w:val="22"/>
                <w:lang w:val="en-GB" w:eastAsia="en-US"/>
              </w:rPr>
              <w:t xml:space="preserve">pleural or pericardial effusions, with or without </w:t>
            </w:r>
            <w:proofErr w:type="spellStart"/>
            <w:r w:rsidRPr="00503091">
              <w:rPr>
                <w:rFonts w:eastAsiaTheme="minorHAnsi" w:cstheme="minorBidi"/>
                <w:sz w:val="22"/>
                <w:szCs w:val="22"/>
                <w:lang w:val="en-GB" w:eastAsia="en-US"/>
              </w:rPr>
              <w:t>leukocytosis</w:t>
            </w:r>
            <w:proofErr w:type="spellEnd"/>
            <w:r w:rsidRPr="00503091">
              <w:rPr>
                <w:rFonts w:eastAsiaTheme="minorHAnsi" w:cstheme="minorBidi"/>
                <w:sz w:val="22"/>
                <w:szCs w:val="22"/>
                <w:lang w:val="en-GB" w:eastAsia="en-US"/>
              </w:rPr>
              <w:t xml:space="preserve"> (see </w:t>
            </w:r>
            <w:r w:rsidRPr="00503091">
              <w:rPr>
                <w:rFonts w:cs="Times New Roman"/>
                <w:sz w:val="22"/>
                <w:szCs w:val="20"/>
                <w:lang w:val="en-GB" w:eastAsia="en-US" w:bidi="ar-SA"/>
              </w:rPr>
              <w:t>section</w:t>
            </w:r>
            <w:r w:rsidRPr="00503091">
              <w:rPr>
                <w:rFonts w:eastAsiaTheme="minorHAnsi" w:cstheme="minorBidi"/>
                <w:sz w:val="22"/>
                <w:szCs w:val="22"/>
                <w:lang w:val="en-GB" w:eastAsia="en-US"/>
              </w:rPr>
              <w:t xml:space="preserve"> 4.4).</w:t>
            </w:r>
          </w:p>
          <w:p w:rsidR="00FC277F" w:rsidRDefault="00FC277F" w:rsidP="00503091">
            <w:pPr>
              <w:jc w:val="right"/>
              <w:rPr>
                <w:rFonts w:cs="Times New Roman"/>
                <w:b/>
                <w:bCs/>
                <w:lang w:val="en-GB"/>
              </w:rPr>
            </w:pPr>
          </w:p>
          <w:p w:rsidR="00FC277F" w:rsidRDefault="00FC277F" w:rsidP="00503091">
            <w:pPr>
              <w:jc w:val="right"/>
              <w:rPr>
                <w:rFonts w:cs="Times New Roman"/>
                <w:b/>
                <w:bCs/>
                <w:lang w:val="en-GB"/>
              </w:rPr>
            </w:pPr>
          </w:p>
          <w:p w:rsidR="00FC277F" w:rsidRPr="00FC277F" w:rsidRDefault="001B49CB" w:rsidP="00FC277F">
            <w:pPr>
              <w:bidi w:val="0"/>
              <w:spacing w:before="84" w:line="360" w:lineRule="auto"/>
              <w:rPr>
                <w:rFonts w:eastAsiaTheme="minorHAnsi" w:cstheme="minorBidi"/>
                <w:strike/>
                <w:lang w:val="en-GB" w:eastAsia="en-US"/>
              </w:rPr>
            </w:pPr>
            <w:r w:rsidRPr="001B49CB">
              <w:rPr>
                <w:rFonts w:eastAsiaTheme="minorHAnsi" w:cstheme="minorBidi"/>
                <w:strike/>
                <w:sz w:val="22"/>
                <w:szCs w:val="22"/>
                <w:highlight w:val="yellow"/>
                <w:lang w:val="en-GB" w:eastAsia="en-US"/>
              </w:rPr>
              <w:pict>
                <v:group id="_x0000_s1028" style="position:absolute;margin-left:460pt;margin-top:3.6pt;width:.1pt;height:44.3pt;z-index:-251655168;mso-position-horizontal-relative:page" coordorigin="9200,72" coordsize="2,886">
                  <v:shape id="_x0000_s1029" style="position:absolute;left:9200;top:72;width:2;height:886" coordorigin="9200,72" coordsize="0,886" path="m9200,958r,-886e" filled="f" strokeweight=".25397mm">
                    <v:path arrowok="t"/>
                  </v:shape>
                  <w10:wrap anchorx="page"/>
                </v:group>
              </w:pict>
            </w:r>
            <w:r w:rsidR="00FC277F" w:rsidRPr="00FC277F">
              <w:rPr>
                <w:rFonts w:eastAsiaTheme="minorHAnsi" w:cstheme="minorBidi"/>
                <w:strike/>
                <w:sz w:val="22"/>
                <w:szCs w:val="22"/>
                <w:highlight w:val="yellow"/>
                <w:lang w:val="en-GB" w:eastAsia="en-US"/>
              </w:rPr>
              <w:t xml:space="preserve">The following adverse events have been identified during the post-approval use of TRISENOX and have been included </w:t>
            </w:r>
            <w:proofErr w:type="gramStart"/>
            <w:r w:rsidR="00FC277F" w:rsidRPr="00FC277F">
              <w:rPr>
                <w:rFonts w:eastAsiaTheme="minorHAnsi" w:cstheme="minorBidi"/>
                <w:strike/>
                <w:sz w:val="22"/>
                <w:szCs w:val="22"/>
                <w:highlight w:val="yellow"/>
                <w:lang w:val="en-GB" w:eastAsia="en-US"/>
              </w:rPr>
              <w:t>following  consideration</w:t>
            </w:r>
            <w:proofErr w:type="gramEnd"/>
            <w:r w:rsidR="00FC277F" w:rsidRPr="00FC277F">
              <w:rPr>
                <w:rFonts w:eastAsiaTheme="minorHAnsi" w:cstheme="minorBidi"/>
                <w:strike/>
                <w:sz w:val="22"/>
                <w:szCs w:val="22"/>
                <w:highlight w:val="yellow"/>
                <w:lang w:val="en-GB" w:eastAsia="en-US"/>
              </w:rPr>
              <w:t xml:space="preserve">  of the observed frequency, seriousness and possible causal relationship to TRISENOX. All occurred with a frequency of uncommon (≥1/1,000 to &lt;1/100).</w:t>
            </w:r>
          </w:p>
          <w:p w:rsidR="00FC277F" w:rsidRPr="00503091" w:rsidRDefault="00FC277F" w:rsidP="00503091">
            <w:pPr>
              <w:jc w:val="right"/>
              <w:rPr>
                <w:rFonts w:cs="Times New Roman"/>
                <w:b/>
                <w:bCs/>
                <w:rtl/>
                <w:lang w:val="en-GB"/>
              </w:rPr>
            </w:pPr>
          </w:p>
        </w:tc>
      </w:tr>
    </w:tbl>
    <w:p w:rsidR="00EB324D" w:rsidRDefault="00EB324D"/>
    <w:p w:rsidR="008F53E8" w:rsidRDefault="008F53E8">
      <w:pPr>
        <w:rPr>
          <w:rtl/>
        </w:rPr>
      </w:pPr>
    </w:p>
    <w:p w:rsidR="006F7BD1" w:rsidRPr="002605C4" w:rsidRDefault="002605C4">
      <w:pPr>
        <w:rPr>
          <w:b/>
          <w:bCs/>
          <w:rtl/>
        </w:rPr>
      </w:pPr>
      <w:r w:rsidRPr="002605C4">
        <w:rPr>
          <w:rFonts w:hint="cs"/>
          <w:b/>
          <w:bCs/>
          <w:rtl/>
        </w:rPr>
        <w:t xml:space="preserve">הטבלה מטה הוסרה: </w:t>
      </w:r>
    </w:p>
    <w:p w:rsidR="002605C4" w:rsidRDefault="002605C4">
      <w:pPr>
        <w:rPr>
          <w:rt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6"/>
        <w:gridCol w:w="3997"/>
      </w:tblGrid>
      <w:tr w:rsidR="002605C4" w:rsidRPr="002605C4" w:rsidTr="00430708">
        <w:trPr>
          <w:trHeight w:hRule="exact" w:val="113"/>
        </w:trPr>
        <w:tc>
          <w:tcPr>
            <w:tcW w:w="4006" w:type="dxa"/>
            <w:vMerge w:val="restart"/>
            <w:shd w:val="clear" w:color="auto" w:fill="auto"/>
          </w:tcPr>
          <w:p w:rsidR="002605C4" w:rsidRPr="002605C4" w:rsidRDefault="002605C4" w:rsidP="00430708">
            <w:pPr>
              <w:bidi w:val="0"/>
              <w:spacing w:before="3"/>
              <w:ind w:left="89"/>
              <w:rPr>
                <w:rFonts w:eastAsiaTheme="minorHAnsi" w:cstheme="minorBidi"/>
                <w:lang w:val="en-GB" w:eastAsia="en-US"/>
              </w:rPr>
            </w:pPr>
            <w:r w:rsidRPr="002605C4">
              <w:rPr>
                <w:rFonts w:eastAsiaTheme="minorHAnsi" w:cstheme="minorBidi"/>
                <w:sz w:val="22"/>
                <w:szCs w:val="22"/>
                <w:lang w:val="en-GB" w:eastAsia="en-US"/>
              </w:rPr>
              <w:t>System Organ Class</w:t>
            </w:r>
          </w:p>
        </w:tc>
        <w:tc>
          <w:tcPr>
            <w:tcW w:w="3997" w:type="dxa"/>
            <w:vMerge w:val="restart"/>
            <w:shd w:val="clear" w:color="auto" w:fill="auto"/>
          </w:tcPr>
          <w:p w:rsidR="002605C4" w:rsidRPr="002605C4" w:rsidRDefault="002605C4" w:rsidP="00430708">
            <w:pPr>
              <w:bidi w:val="0"/>
              <w:spacing w:before="3"/>
              <w:ind w:left="88"/>
              <w:rPr>
                <w:rFonts w:eastAsiaTheme="minorHAnsi" w:cstheme="minorBidi"/>
                <w:lang w:val="en-GB" w:eastAsia="en-US"/>
              </w:rPr>
            </w:pPr>
            <w:r w:rsidRPr="002605C4">
              <w:rPr>
                <w:rFonts w:eastAsiaTheme="minorHAnsi" w:cstheme="minorBidi"/>
                <w:sz w:val="22"/>
                <w:szCs w:val="22"/>
                <w:lang w:val="en-GB" w:eastAsia="en-US"/>
              </w:rPr>
              <w:t>Uncommon</w:t>
            </w:r>
          </w:p>
        </w:tc>
      </w:tr>
      <w:tr w:rsidR="002605C4" w:rsidRPr="002605C4" w:rsidTr="00430708">
        <w:trPr>
          <w:trHeight w:hRule="exact" w:val="118"/>
        </w:trPr>
        <w:tc>
          <w:tcPr>
            <w:tcW w:w="4006" w:type="dxa"/>
            <w:vMerge/>
            <w:shd w:val="clear" w:color="auto" w:fill="auto"/>
          </w:tcPr>
          <w:p w:rsidR="002605C4" w:rsidRPr="002605C4" w:rsidRDefault="002605C4" w:rsidP="00430708">
            <w:pPr>
              <w:bidi w:val="0"/>
              <w:rPr>
                <w:rFonts w:eastAsiaTheme="minorHAnsi" w:cstheme="minorBidi"/>
                <w:lang w:val="en-GB" w:eastAsia="en-US"/>
              </w:rPr>
            </w:pPr>
          </w:p>
        </w:tc>
        <w:tc>
          <w:tcPr>
            <w:tcW w:w="3997" w:type="dxa"/>
            <w:vMerge/>
            <w:shd w:val="clear" w:color="auto" w:fill="auto"/>
          </w:tcPr>
          <w:p w:rsidR="002605C4" w:rsidRPr="002605C4" w:rsidRDefault="002605C4" w:rsidP="00430708">
            <w:pPr>
              <w:bidi w:val="0"/>
              <w:rPr>
                <w:rFonts w:eastAsiaTheme="minorHAnsi" w:cstheme="minorBidi"/>
                <w:lang w:val="en-GB" w:eastAsia="en-US"/>
              </w:rPr>
            </w:pPr>
          </w:p>
        </w:tc>
      </w:tr>
      <w:tr w:rsidR="002605C4" w:rsidRPr="002605C4" w:rsidTr="00430708">
        <w:trPr>
          <w:trHeight w:hRule="exact" w:val="807"/>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Infection and Infestations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Sepsis</w:t>
            </w:r>
          </w:p>
          <w:p w:rsidR="002605C4" w:rsidRPr="002605C4" w:rsidRDefault="002605C4" w:rsidP="00430708">
            <w:pPr>
              <w:bidi w:val="0"/>
              <w:spacing w:before="1"/>
              <w:ind w:left="88"/>
              <w:rPr>
                <w:rFonts w:eastAsiaTheme="minorHAnsi" w:cstheme="minorBidi"/>
                <w:lang w:val="en-GB" w:eastAsia="en-US"/>
              </w:rPr>
            </w:pPr>
            <w:r w:rsidRPr="002605C4">
              <w:rPr>
                <w:rFonts w:eastAsiaTheme="minorHAnsi" w:cstheme="minorBidi"/>
                <w:sz w:val="22"/>
                <w:szCs w:val="22"/>
                <w:lang w:val="en-GB" w:eastAsia="en-US"/>
              </w:rPr>
              <w:t>Pneumonia</w:t>
            </w:r>
          </w:p>
          <w:p w:rsidR="002605C4" w:rsidRPr="002605C4" w:rsidRDefault="002605C4" w:rsidP="00430708">
            <w:pPr>
              <w:bidi w:val="0"/>
              <w:spacing w:before="1"/>
              <w:ind w:left="88"/>
              <w:rPr>
                <w:rFonts w:eastAsiaTheme="minorHAnsi" w:cstheme="minorBidi"/>
                <w:lang w:val="en-GB" w:eastAsia="en-US"/>
              </w:rPr>
            </w:pPr>
            <w:r w:rsidRPr="002605C4">
              <w:rPr>
                <w:rFonts w:eastAsiaTheme="minorHAnsi" w:cstheme="minorBidi"/>
                <w:sz w:val="22"/>
                <w:szCs w:val="22"/>
                <w:lang w:val="en-GB" w:eastAsia="en-US"/>
              </w:rPr>
              <w:t>Herpes zoster</w:t>
            </w:r>
          </w:p>
        </w:tc>
      </w:tr>
      <w:tr w:rsidR="002605C4" w:rsidRPr="002605C4" w:rsidTr="00430708">
        <w:trPr>
          <w:trHeight w:hRule="exact" w:val="375"/>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 xml:space="preserve">Blood and </w:t>
            </w:r>
            <w:proofErr w:type="spellStart"/>
            <w:r w:rsidRPr="002605C4">
              <w:rPr>
                <w:rFonts w:eastAsiaTheme="minorHAnsi" w:cstheme="minorBidi"/>
                <w:sz w:val="22"/>
                <w:szCs w:val="22"/>
                <w:lang w:val="en-GB" w:eastAsia="en-US"/>
              </w:rPr>
              <w:t>Lymphatics</w:t>
            </w:r>
            <w:proofErr w:type="spellEnd"/>
            <w:r w:rsidRPr="002605C4">
              <w:rPr>
                <w:rFonts w:eastAsiaTheme="minorHAnsi" w:cstheme="minorBidi"/>
                <w:sz w:val="22"/>
                <w:szCs w:val="22"/>
                <w:lang w:val="en-GB" w:eastAsia="en-US"/>
              </w:rPr>
              <w:t xml:space="preserve"> System Disorders</w:t>
            </w:r>
          </w:p>
        </w:tc>
        <w:tc>
          <w:tcPr>
            <w:tcW w:w="3997"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Anaemia</w:t>
            </w:r>
          </w:p>
        </w:tc>
      </w:tr>
      <w:tr w:rsidR="002605C4" w:rsidRPr="002605C4" w:rsidTr="00430708">
        <w:trPr>
          <w:trHeight w:hRule="exact" w:val="564"/>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Metabolism and Nutrition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Dehydration</w:t>
            </w:r>
          </w:p>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Fluid retention</w:t>
            </w:r>
          </w:p>
        </w:tc>
      </w:tr>
      <w:tr w:rsidR="002605C4" w:rsidRPr="002605C4" w:rsidTr="00430708">
        <w:trPr>
          <w:trHeight w:hRule="exact" w:val="413"/>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lastRenderedPageBreak/>
              <w:t>Psychiatric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proofErr w:type="spellStart"/>
            <w:r w:rsidRPr="002605C4">
              <w:rPr>
                <w:rFonts w:eastAsiaTheme="minorHAnsi" w:cstheme="minorBidi"/>
                <w:sz w:val="22"/>
                <w:szCs w:val="22"/>
                <w:lang w:val="en-GB" w:eastAsia="en-US"/>
              </w:rPr>
              <w:t>Confusional</w:t>
            </w:r>
            <w:proofErr w:type="spellEnd"/>
            <w:r w:rsidRPr="002605C4">
              <w:rPr>
                <w:rFonts w:eastAsiaTheme="minorHAnsi" w:cstheme="minorBidi"/>
                <w:sz w:val="22"/>
                <w:szCs w:val="22"/>
                <w:lang w:val="en-GB" w:eastAsia="en-US"/>
              </w:rPr>
              <w:t xml:space="preserve"> state</w:t>
            </w:r>
          </w:p>
        </w:tc>
      </w:tr>
      <w:tr w:rsidR="002605C4" w:rsidRPr="002605C4" w:rsidTr="00430708">
        <w:trPr>
          <w:trHeight w:hRule="exact" w:val="560"/>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Nervous System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 xml:space="preserve">Convulsions </w:t>
            </w:r>
          </w:p>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Dizziness</w:t>
            </w:r>
          </w:p>
        </w:tc>
      </w:tr>
      <w:tr w:rsidR="002605C4" w:rsidRPr="002605C4" w:rsidTr="00430708">
        <w:trPr>
          <w:trHeight w:hRule="exact" w:val="166"/>
        </w:trPr>
        <w:tc>
          <w:tcPr>
            <w:tcW w:w="4006" w:type="dxa"/>
            <w:vMerge w:val="restart"/>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Eye Disorders</w:t>
            </w:r>
          </w:p>
        </w:tc>
        <w:tc>
          <w:tcPr>
            <w:tcW w:w="3997" w:type="dxa"/>
            <w:vMerge w:val="restart"/>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Vision blurred</w:t>
            </w:r>
          </w:p>
        </w:tc>
      </w:tr>
      <w:tr w:rsidR="002605C4" w:rsidRPr="002605C4" w:rsidTr="00430708">
        <w:trPr>
          <w:trHeight w:hRule="exact" w:val="62"/>
        </w:trPr>
        <w:tc>
          <w:tcPr>
            <w:tcW w:w="4006" w:type="dxa"/>
            <w:vMerge/>
            <w:shd w:val="clear" w:color="auto" w:fill="auto"/>
          </w:tcPr>
          <w:p w:rsidR="002605C4" w:rsidRPr="002605C4" w:rsidRDefault="002605C4" w:rsidP="00430708">
            <w:pPr>
              <w:bidi w:val="0"/>
              <w:rPr>
                <w:rFonts w:eastAsiaTheme="minorHAnsi" w:cstheme="minorBidi"/>
                <w:lang w:val="en-GB" w:eastAsia="en-US"/>
              </w:rPr>
            </w:pPr>
          </w:p>
        </w:tc>
        <w:tc>
          <w:tcPr>
            <w:tcW w:w="3997" w:type="dxa"/>
            <w:vMerge/>
            <w:shd w:val="clear" w:color="auto" w:fill="auto"/>
          </w:tcPr>
          <w:p w:rsidR="002605C4" w:rsidRPr="002605C4" w:rsidRDefault="002605C4" w:rsidP="00430708">
            <w:pPr>
              <w:bidi w:val="0"/>
              <w:rPr>
                <w:rFonts w:eastAsiaTheme="minorHAnsi" w:cstheme="minorBidi"/>
                <w:lang w:val="en-GB" w:eastAsia="en-US"/>
              </w:rPr>
            </w:pPr>
          </w:p>
        </w:tc>
      </w:tr>
      <w:tr w:rsidR="002605C4" w:rsidRPr="002605C4" w:rsidTr="00430708">
        <w:trPr>
          <w:trHeight w:hRule="exact" w:val="884"/>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Cardiac Disorders</w:t>
            </w:r>
          </w:p>
        </w:tc>
        <w:tc>
          <w:tcPr>
            <w:tcW w:w="3997" w:type="dxa"/>
            <w:shd w:val="clear" w:color="auto" w:fill="auto"/>
          </w:tcPr>
          <w:p w:rsidR="002605C4" w:rsidRPr="002605C4" w:rsidRDefault="002605C4" w:rsidP="00430708">
            <w:pPr>
              <w:bidi w:val="0"/>
              <w:ind w:left="87"/>
              <w:rPr>
                <w:rFonts w:eastAsiaTheme="minorHAnsi" w:cstheme="minorBidi"/>
                <w:lang w:val="en-GB" w:eastAsia="en-US"/>
              </w:rPr>
            </w:pPr>
            <w:r w:rsidRPr="002605C4">
              <w:rPr>
                <w:rFonts w:eastAsiaTheme="minorHAnsi" w:cstheme="minorBidi"/>
                <w:sz w:val="22"/>
                <w:szCs w:val="22"/>
                <w:lang w:val="en-GB" w:eastAsia="en-US"/>
              </w:rPr>
              <w:t>Cardiac failure</w:t>
            </w:r>
          </w:p>
          <w:p w:rsidR="002605C4" w:rsidRPr="002605C4" w:rsidRDefault="002605C4" w:rsidP="00430708">
            <w:pPr>
              <w:bidi w:val="0"/>
              <w:spacing w:before="1"/>
              <w:ind w:left="88"/>
              <w:rPr>
                <w:rFonts w:eastAsiaTheme="minorHAnsi" w:cstheme="minorBidi"/>
                <w:lang w:val="en-GB" w:eastAsia="en-US"/>
              </w:rPr>
            </w:pPr>
            <w:r w:rsidRPr="002605C4">
              <w:rPr>
                <w:rFonts w:eastAsiaTheme="minorHAnsi" w:cstheme="minorBidi"/>
                <w:sz w:val="22"/>
                <w:szCs w:val="22"/>
                <w:lang w:val="en-GB" w:eastAsia="en-US"/>
              </w:rPr>
              <w:t>Ventricular tachycardia</w:t>
            </w:r>
          </w:p>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 xml:space="preserve">Ventricular </w:t>
            </w:r>
            <w:proofErr w:type="spellStart"/>
            <w:r w:rsidRPr="002605C4">
              <w:rPr>
                <w:rFonts w:eastAsiaTheme="minorHAnsi" w:cstheme="minorBidi"/>
                <w:sz w:val="22"/>
                <w:szCs w:val="22"/>
                <w:lang w:val="en-GB" w:eastAsia="en-US"/>
              </w:rPr>
              <w:t>extrasystoles</w:t>
            </w:r>
            <w:proofErr w:type="spellEnd"/>
          </w:p>
        </w:tc>
      </w:tr>
      <w:tr w:rsidR="002605C4" w:rsidRPr="002605C4" w:rsidTr="00430708">
        <w:trPr>
          <w:trHeight w:hRule="exact" w:val="286"/>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Vascular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Hypotension</w:t>
            </w:r>
          </w:p>
        </w:tc>
      </w:tr>
      <w:tr w:rsidR="002605C4" w:rsidRPr="002605C4" w:rsidTr="00430708">
        <w:trPr>
          <w:trHeight w:hRule="exact" w:val="606"/>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 xml:space="preserve">Respiratory, Thoracic and </w:t>
            </w:r>
            <w:proofErr w:type="spellStart"/>
            <w:r w:rsidRPr="002605C4">
              <w:rPr>
                <w:rFonts w:eastAsiaTheme="minorHAnsi" w:cstheme="minorBidi"/>
                <w:sz w:val="22"/>
                <w:szCs w:val="22"/>
                <w:lang w:val="en-GB" w:eastAsia="en-US"/>
              </w:rPr>
              <w:t>Mediastinal</w:t>
            </w:r>
            <w:proofErr w:type="spellEnd"/>
            <w:r w:rsidRPr="002605C4">
              <w:rPr>
                <w:rFonts w:eastAsiaTheme="minorHAnsi" w:cstheme="minorBidi"/>
                <w:sz w:val="22"/>
                <w:szCs w:val="22"/>
                <w:lang w:val="en-GB" w:eastAsia="en-US"/>
              </w:rPr>
              <w:t xml:space="preserve">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Pneumonitis</w:t>
            </w:r>
          </w:p>
        </w:tc>
      </w:tr>
      <w:tr w:rsidR="002605C4" w:rsidRPr="002605C4" w:rsidTr="00430708">
        <w:trPr>
          <w:trHeight w:hRule="exact" w:val="448"/>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Gastrointestinal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Vomiting</w:t>
            </w:r>
          </w:p>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Abdominal pain</w:t>
            </w:r>
          </w:p>
        </w:tc>
      </w:tr>
      <w:tr w:rsidR="002605C4" w:rsidRPr="002605C4" w:rsidTr="00430708">
        <w:trPr>
          <w:trHeight w:hRule="exact" w:val="446"/>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Skin and Subcutaneous Disorders</w:t>
            </w:r>
          </w:p>
        </w:tc>
        <w:tc>
          <w:tcPr>
            <w:tcW w:w="3997" w:type="dxa"/>
            <w:shd w:val="clear" w:color="auto" w:fill="auto"/>
          </w:tcPr>
          <w:p w:rsidR="002605C4" w:rsidRPr="002605C4" w:rsidRDefault="002605C4" w:rsidP="00430708">
            <w:pPr>
              <w:bidi w:val="0"/>
              <w:ind w:left="87"/>
              <w:rPr>
                <w:rFonts w:eastAsiaTheme="minorHAnsi" w:cstheme="minorBidi"/>
                <w:lang w:val="en-GB" w:eastAsia="en-US"/>
              </w:rPr>
            </w:pPr>
            <w:r w:rsidRPr="002605C4">
              <w:rPr>
                <w:rFonts w:eastAsiaTheme="minorHAnsi" w:cstheme="minorBidi"/>
                <w:sz w:val="22"/>
                <w:szCs w:val="22"/>
                <w:lang w:val="en-GB" w:eastAsia="en-US"/>
              </w:rPr>
              <w:t>Face oedema</w:t>
            </w:r>
          </w:p>
          <w:p w:rsidR="002605C4" w:rsidRPr="002605C4" w:rsidRDefault="002605C4" w:rsidP="00430708">
            <w:pPr>
              <w:bidi w:val="0"/>
              <w:spacing w:before="1"/>
              <w:ind w:left="88"/>
              <w:rPr>
                <w:rFonts w:eastAsiaTheme="minorHAnsi" w:cstheme="minorBidi"/>
                <w:lang w:val="en-GB" w:eastAsia="en-US"/>
              </w:rPr>
            </w:pPr>
            <w:r w:rsidRPr="002605C4">
              <w:rPr>
                <w:rFonts w:eastAsiaTheme="minorHAnsi" w:cstheme="minorBidi"/>
                <w:sz w:val="22"/>
                <w:szCs w:val="22"/>
                <w:lang w:val="en-GB" w:eastAsia="en-US"/>
              </w:rPr>
              <w:t>Rash</w:t>
            </w:r>
          </w:p>
        </w:tc>
      </w:tr>
      <w:tr w:rsidR="002605C4" w:rsidRPr="002605C4" w:rsidTr="00430708">
        <w:trPr>
          <w:trHeight w:hRule="exact" w:val="227"/>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Renal and Urinary Disorders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Renal failure</w:t>
            </w:r>
          </w:p>
        </w:tc>
      </w:tr>
      <w:tr w:rsidR="002605C4" w:rsidRPr="002605C4" w:rsidTr="00430708">
        <w:trPr>
          <w:trHeight w:hRule="exact" w:val="739"/>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General Disorders and Administration Site</w:t>
            </w:r>
          </w:p>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Conditions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Oedema</w:t>
            </w:r>
          </w:p>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Chills</w:t>
            </w:r>
          </w:p>
        </w:tc>
      </w:tr>
      <w:tr w:rsidR="002605C4" w:rsidRPr="002605C4" w:rsidTr="00430708">
        <w:trPr>
          <w:trHeight w:hRule="exact" w:val="564"/>
        </w:trPr>
        <w:tc>
          <w:tcPr>
            <w:tcW w:w="4006" w:type="dxa"/>
            <w:shd w:val="clear" w:color="auto" w:fill="auto"/>
          </w:tcPr>
          <w:p w:rsidR="002605C4" w:rsidRPr="002605C4" w:rsidRDefault="002605C4" w:rsidP="00430708">
            <w:pPr>
              <w:bidi w:val="0"/>
              <w:ind w:left="89"/>
              <w:rPr>
                <w:rFonts w:eastAsiaTheme="minorHAnsi" w:cstheme="minorBidi"/>
                <w:lang w:val="en-GB" w:eastAsia="en-US"/>
              </w:rPr>
            </w:pPr>
            <w:r w:rsidRPr="002605C4">
              <w:rPr>
                <w:rFonts w:eastAsiaTheme="minorHAnsi" w:cstheme="minorBidi"/>
                <w:sz w:val="22"/>
                <w:szCs w:val="22"/>
                <w:lang w:val="en-GB" w:eastAsia="en-US"/>
              </w:rPr>
              <w:t>Investigations</w:t>
            </w:r>
          </w:p>
        </w:tc>
        <w:tc>
          <w:tcPr>
            <w:tcW w:w="3997" w:type="dxa"/>
            <w:shd w:val="clear" w:color="auto" w:fill="auto"/>
          </w:tcPr>
          <w:p w:rsidR="002605C4" w:rsidRPr="002605C4" w:rsidRDefault="002605C4" w:rsidP="00430708">
            <w:pPr>
              <w:bidi w:val="0"/>
              <w:ind w:left="88"/>
              <w:rPr>
                <w:rFonts w:eastAsiaTheme="minorHAnsi" w:cstheme="minorBidi"/>
                <w:lang w:val="en-GB" w:eastAsia="en-US"/>
              </w:rPr>
            </w:pPr>
            <w:r w:rsidRPr="002605C4">
              <w:rPr>
                <w:rFonts w:eastAsiaTheme="minorHAnsi" w:cstheme="minorBidi"/>
                <w:sz w:val="22"/>
                <w:szCs w:val="22"/>
                <w:lang w:val="en-GB" w:eastAsia="en-US"/>
              </w:rPr>
              <w:t xml:space="preserve">Blood </w:t>
            </w:r>
            <w:proofErr w:type="spellStart"/>
            <w:r w:rsidRPr="002605C4">
              <w:rPr>
                <w:rFonts w:eastAsiaTheme="minorHAnsi" w:cstheme="minorBidi"/>
                <w:sz w:val="22"/>
                <w:szCs w:val="22"/>
                <w:lang w:val="en-GB" w:eastAsia="en-US"/>
              </w:rPr>
              <w:t>creatinine</w:t>
            </w:r>
            <w:proofErr w:type="spellEnd"/>
            <w:r w:rsidRPr="002605C4">
              <w:rPr>
                <w:rFonts w:eastAsiaTheme="minorHAnsi" w:cstheme="minorBidi"/>
                <w:sz w:val="22"/>
                <w:szCs w:val="22"/>
                <w:lang w:val="en-GB" w:eastAsia="en-US"/>
              </w:rPr>
              <w:t xml:space="preserve"> increased</w:t>
            </w:r>
          </w:p>
          <w:p w:rsidR="002605C4" w:rsidRPr="002605C4" w:rsidRDefault="002605C4" w:rsidP="00430708">
            <w:pPr>
              <w:bidi w:val="0"/>
              <w:spacing w:before="1"/>
              <w:ind w:left="88"/>
              <w:rPr>
                <w:rFonts w:eastAsiaTheme="minorHAnsi" w:cstheme="minorBidi"/>
                <w:lang w:val="en-GB" w:eastAsia="en-US"/>
              </w:rPr>
            </w:pPr>
            <w:r w:rsidRPr="002605C4">
              <w:rPr>
                <w:rFonts w:eastAsiaTheme="minorHAnsi" w:cstheme="minorBidi"/>
                <w:sz w:val="22"/>
                <w:szCs w:val="22"/>
                <w:lang w:val="en-GB" w:eastAsia="en-US"/>
              </w:rPr>
              <w:t>Weight increased</w:t>
            </w:r>
          </w:p>
        </w:tc>
      </w:tr>
    </w:tbl>
    <w:p w:rsidR="002605C4" w:rsidRPr="002605C4" w:rsidRDefault="002605C4">
      <w:pPr>
        <w:rPr>
          <w:rFonts w:eastAsiaTheme="minorHAnsi" w:cstheme="minorBidi"/>
          <w:sz w:val="22"/>
          <w:szCs w:val="22"/>
          <w:rtl/>
          <w:lang w:val="en-GB" w:eastAsia="en-US"/>
        </w:rPr>
      </w:pPr>
    </w:p>
    <w:p w:rsidR="008F53E8" w:rsidRDefault="008F53E8">
      <w:pPr>
        <w:rPr>
          <w:rtl/>
        </w:rPr>
      </w:pP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96"/>
        <w:gridCol w:w="4252"/>
      </w:tblGrid>
      <w:tr w:rsidR="008F53E8" w:rsidRPr="000E5AEB" w:rsidTr="005D1A5D">
        <w:trPr>
          <w:cantSplit/>
          <w:jc w:val="center"/>
        </w:trPr>
        <w:tc>
          <w:tcPr>
            <w:tcW w:w="10347" w:type="dxa"/>
            <w:gridSpan w:val="3"/>
            <w:tcBorders>
              <w:bottom w:val="single" w:sz="4" w:space="0" w:color="auto"/>
              <w:right w:val="single" w:sz="4" w:space="0" w:color="auto"/>
            </w:tcBorders>
            <w:shd w:val="pct12" w:color="auto" w:fill="FFFFFF"/>
          </w:tcPr>
          <w:p w:rsidR="008F53E8" w:rsidRPr="000E5AEB" w:rsidRDefault="008F53E8" w:rsidP="005D1A5D">
            <w:pPr>
              <w:jc w:val="center"/>
              <w:rPr>
                <w:rFonts w:cs="Times New Roman"/>
                <w:b/>
                <w:bCs/>
                <w:rtl/>
              </w:rPr>
            </w:pPr>
          </w:p>
          <w:p w:rsidR="008F53E8" w:rsidRPr="000E5AEB" w:rsidRDefault="008F53E8" w:rsidP="005D1A5D">
            <w:pPr>
              <w:jc w:val="center"/>
              <w:rPr>
                <w:rFonts w:cs="Times New Roman"/>
                <w:b/>
                <w:bCs/>
                <w:rtl/>
              </w:rPr>
            </w:pPr>
            <w:r w:rsidRPr="000E5AEB">
              <w:rPr>
                <w:rFonts w:cs="Times New Roman"/>
                <w:b/>
                <w:bCs/>
                <w:sz w:val="22"/>
                <w:szCs w:val="22"/>
                <w:rtl/>
              </w:rPr>
              <w:t>פרטים על השינוי/ים המבוקש/ים</w:t>
            </w:r>
            <w:r>
              <w:rPr>
                <w:rFonts w:cs="Times New Roman" w:hint="cs"/>
                <w:b/>
                <w:bCs/>
                <w:sz w:val="22"/>
                <w:szCs w:val="22"/>
                <w:rtl/>
              </w:rPr>
              <w:t xml:space="preserve"> - המשך</w:t>
            </w:r>
          </w:p>
        </w:tc>
      </w:tr>
      <w:tr w:rsidR="008F53E8" w:rsidRPr="000E5AEB" w:rsidTr="005D1A5D">
        <w:trPr>
          <w:jc w:val="center"/>
        </w:trPr>
        <w:tc>
          <w:tcPr>
            <w:tcW w:w="1799" w:type="dxa"/>
            <w:tcBorders>
              <w:top w:val="single" w:sz="4" w:space="0" w:color="auto"/>
              <w:bottom w:val="single" w:sz="4" w:space="0" w:color="auto"/>
            </w:tcBorders>
          </w:tcPr>
          <w:p w:rsidR="008F53E8" w:rsidRPr="000E5AEB" w:rsidRDefault="00783859" w:rsidP="00783859">
            <w:pPr>
              <w:jc w:val="center"/>
              <w:rPr>
                <w:rFonts w:cs="Times New Roman"/>
                <w:b/>
                <w:bCs/>
                <w:rtl/>
              </w:rPr>
            </w:pPr>
            <w:r>
              <w:rPr>
                <w:rFonts w:cs="Times New Roman"/>
                <w:b/>
                <w:noProof/>
                <w:sz w:val="22"/>
                <w:szCs w:val="22"/>
              </w:rPr>
              <w:t>4.8 Undesirable effects</w:t>
            </w:r>
          </w:p>
        </w:tc>
        <w:tc>
          <w:tcPr>
            <w:tcW w:w="4296" w:type="dxa"/>
            <w:tcBorders>
              <w:top w:val="single" w:sz="4" w:space="0" w:color="auto"/>
              <w:bottom w:val="single" w:sz="4" w:space="0" w:color="auto"/>
            </w:tcBorders>
          </w:tcPr>
          <w:p w:rsidR="00CD40DE" w:rsidRPr="00CD40DE" w:rsidRDefault="001B49CB" w:rsidP="00CD40DE">
            <w:pPr>
              <w:bidi w:val="0"/>
              <w:spacing w:before="35" w:line="360" w:lineRule="auto"/>
              <w:rPr>
                <w:rFonts w:eastAsiaTheme="minorHAnsi" w:cstheme="minorBidi"/>
                <w:lang w:val="en-GB" w:eastAsia="en-US"/>
              </w:rPr>
            </w:pPr>
            <w:r w:rsidRPr="001B49CB">
              <w:rPr>
                <w:rFonts w:eastAsiaTheme="minorHAnsi" w:cstheme="minorBidi"/>
                <w:sz w:val="22"/>
                <w:szCs w:val="22"/>
                <w:lang w:val="en-GB" w:eastAsia="en-US"/>
              </w:rPr>
              <w:pict>
                <v:group id="_x0000_s1030" style="position:absolute;margin-left:459.95pt;margin-top:-9.1pt;width:.1pt;height:43.6pt;z-index:-251653120;mso-position-horizontal-relative:page;mso-position-vertical-relative:text" coordorigin="9199,-182" coordsize="2,872">
                  <v:shape id="_x0000_s1031" style="position:absolute;left:9199;top:-182;width:2;height:872" coordorigin="9199,-182" coordsize="0,872" path="m9199,-182r,872e" filled="f" strokeweight=".24697mm">
                    <v:path arrowok="t"/>
                  </v:shape>
                  <w10:wrap anchorx="page"/>
                </v:group>
              </w:pict>
            </w:r>
            <w:r w:rsidR="00CD40DE" w:rsidRPr="00CD40DE">
              <w:rPr>
                <w:rFonts w:eastAsiaTheme="minorHAnsi" w:cstheme="minorBidi"/>
                <w:sz w:val="22"/>
                <w:szCs w:val="22"/>
                <w:lang w:val="en-GB" w:eastAsia="en-US"/>
              </w:rPr>
              <w:t>In post marketing experience, pancytopenia has been reported; a differentiation syndrome, like retinoic acid syndrome, has also been reported with the use of TRISENOX for the treatment of malignancies other than APL.</w:t>
            </w:r>
          </w:p>
          <w:p w:rsidR="008F53E8" w:rsidRPr="00CD40DE" w:rsidRDefault="008F53E8" w:rsidP="005D1A5D">
            <w:pPr>
              <w:jc w:val="center"/>
              <w:rPr>
                <w:rFonts w:cs="Times New Roman"/>
                <w:b/>
                <w:bCs/>
                <w:rtl/>
              </w:rPr>
            </w:pPr>
          </w:p>
        </w:tc>
        <w:tc>
          <w:tcPr>
            <w:tcW w:w="4252" w:type="dxa"/>
            <w:tcBorders>
              <w:top w:val="single" w:sz="4" w:space="0" w:color="auto"/>
              <w:bottom w:val="single" w:sz="4" w:space="0" w:color="auto"/>
              <w:right w:val="single" w:sz="4" w:space="0" w:color="auto"/>
            </w:tcBorders>
          </w:tcPr>
          <w:p w:rsidR="00CD40DE" w:rsidRPr="00CD40DE" w:rsidRDefault="001B49CB" w:rsidP="00CD40DE">
            <w:pPr>
              <w:bidi w:val="0"/>
              <w:spacing w:before="35" w:line="360" w:lineRule="auto"/>
              <w:rPr>
                <w:rFonts w:ascii="Calibri" w:hAnsi="Calibri" w:cs="Calibri"/>
                <w:iCs/>
                <w:sz w:val="20"/>
                <w:szCs w:val="20"/>
                <w:lang w:eastAsia="en-US"/>
              </w:rPr>
            </w:pPr>
            <w:r w:rsidRPr="001B49CB">
              <w:rPr>
                <w:rFonts w:eastAsiaTheme="minorHAnsi" w:cstheme="minorBidi"/>
                <w:sz w:val="22"/>
                <w:szCs w:val="22"/>
                <w:lang w:val="en-GB" w:eastAsia="en-US"/>
              </w:rPr>
              <w:pict>
                <v:group id="_x0000_s1032" style="position:absolute;margin-left:459.95pt;margin-top:-9.1pt;width:.1pt;height:43.6pt;z-index:-251651072;mso-position-horizontal-relative:page;mso-position-vertical-relative:text" coordorigin="9199,-182" coordsize="2,872">
                  <v:shape id="_x0000_s1033" style="position:absolute;left:9199;top:-182;width:2;height:872" coordorigin="9199,-182" coordsize="0,872" path="m9199,-182r,872e" filled="f" strokeweight=".24697mm">
                    <v:path arrowok="t"/>
                  </v:shape>
                  <w10:wrap anchorx="page"/>
                </v:group>
              </w:pict>
            </w:r>
            <w:r w:rsidR="00CD40DE" w:rsidRPr="00CD40DE">
              <w:rPr>
                <w:rFonts w:eastAsiaTheme="minorHAnsi" w:cstheme="minorBidi"/>
                <w:sz w:val="22"/>
                <w:szCs w:val="22"/>
                <w:lang w:val="en-GB" w:eastAsia="en-US"/>
              </w:rPr>
              <w:t>In</w:t>
            </w:r>
            <w:r w:rsidR="00CD40DE" w:rsidRPr="00CD40DE">
              <w:rPr>
                <w:rFonts w:ascii="Calibri" w:hAnsi="Calibri" w:cs="Calibri"/>
                <w:iCs/>
                <w:spacing w:val="-1"/>
                <w:sz w:val="20"/>
                <w:szCs w:val="20"/>
                <w:lang w:eastAsia="en-US"/>
              </w:rPr>
              <w:t xml:space="preserve"> </w:t>
            </w:r>
            <w:r w:rsidR="00CD40DE" w:rsidRPr="00CD40DE">
              <w:rPr>
                <w:rFonts w:eastAsiaTheme="minorHAnsi" w:cstheme="minorBidi"/>
                <w:sz w:val="22"/>
                <w:szCs w:val="22"/>
                <w:lang w:val="en-GB" w:eastAsia="en-US"/>
              </w:rPr>
              <w:t>post marketing experience,</w:t>
            </w:r>
            <w:r w:rsidR="00CD40DE" w:rsidRPr="00CD40DE">
              <w:rPr>
                <w:rFonts w:ascii="Calibri" w:hAnsi="Calibri" w:cs="Calibri"/>
                <w:iCs/>
                <w:spacing w:val="-8"/>
                <w:sz w:val="20"/>
                <w:szCs w:val="20"/>
                <w:lang w:eastAsia="en-US"/>
              </w:rPr>
              <w:t xml:space="preserve"> </w:t>
            </w:r>
            <w:r w:rsidR="00CD40DE" w:rsidRPr="00CD40DE">
              <w:rPr>
                <w:rFonts w:eastAsiaTheme="minorHAnsi" w:cstheme="minorBidi"/>
                <w:strike/>
                <w:sz w:val="22"/>
                <w:szCs w:val="22"/>
                <w:highlight w:val="yellow"/>
                <w:lang w:val="en-GB" w:eastAsia="en-US"/>
              </w:rPr>
              <w:t>pancytopenia has been reported;</w:t>
            </w:r>
            <w:r w:rsidR="00CD40DE" w:rsidRPr="00CD40DE">
              <w:rPr>
                <w:rFonts w:eastAsiaTheme="minorHAnsi" w:cstheme="minorBidi"/>
                <w:strike/>
                <w:sz w:val="22"/>
                <w:szCs w:val="22"/>
                <w:lang w:val="en-GB" w:eastAsia="en-US"/>
              </w:rPr>
              <w:t xml:space="preserve"> </w:t>
            </w:r>
            <w:r w:rsidR="00CD40DE" w:rsidRPr="00CD40DE">
              <w:rPr>
                <w:rFonts w:eastAsiaTheme="minorHAnsi" w:cstheme="minorBidi"/>
                <w:sz w:val="22"/>
                <w:szCs w:val="22"/>
                <w:lang w:val="en-GB" w:eastAsia="en-US"/>
              </w:rPr>
              <w:t xml:space="preserve">a differentiation syndrome, like retinoic acid syndrome, has also been reported </w:t>
            </w:r>
            <w:r w:rsidR="00CD40DE" w:rsidRPr="00CD40DE">
              <w:rPr>
                <w:rFonts w:eastAsiaTheme="minorHAnsi" w:cstheme="minorBidi"/>
                <w:strike/>
                <w:sz w:val="22"/>
                <w:szCs w:val="22"/>
                <w:highlight w:val="yellow"/>
                <w:lang w:val="en-GB" w:eastAsia="en-US"/>
              </w:rPr>
              <w:t>with the use of TRISENOX</w:t>
            </w:r>
            <w:r w:rsidR="00CD40DE" w:rsidRPr="00CD40DE">
              <w:rPr>
                <w:rFonts w:eastAsiaTheme="minorHAnsi" w:cstheme="minorBidi"/>
                <w:sz w:val="22"/>
                <w:szCs w:val="22"/>
                <w:lang w:val="en-GB" w:eastAsia="en-US"/>
              </w:rPr>
              <w:t xml:space="preserve"> for the treatment of malignancies other than </w:t>
            </w:r>
            <w:r w:rsidR="00CD40DE">
              <w:rPr>
                <w:rFonts w:eastAsiaTheme="minorHAnsi" w:cstheme="minorBidi"/>
                <w:sz w:val="22"/>
                <w:szCs w:val="22"/>
                <w:lang w:val="en-GB" w:eastAsia="en-US"/>
              </w:rPr>
              <w:t xml:space="preserve">APL </w:t>
            </w:r>
            <w:r w:rsidR="00CD40DE" w:rsidRPr="00CD40DE">
              <w:rPr>
                <w:rFonts w:eastAsiaTheme="minorHAnsi" w:cstheme="minorBidi"/>
                <w:sz w:val="22"/>
                <w:szCs w:val="22"/>
                <w:highlight w:val="yellow"/>
                <w:lang w:val="en-GB" w:eastAsia="en-US"/>
              </w:rPr>
              <w:t>with TRISENOX.</w:t>
            </w:r>
          </w:p>
          <w:p w:rsidR="008F53E8" w:rsidRPr="00CD40DE" w:rsidRDefault="008F53E8" w:rsidP="005D1A5D">
            <w:pPr>
              <w:jc w:val="center"/>
              <w:rPr>
                <w:rFonts w:cs="Times New Roman"/>
                <w:b/>
                <w:bCs/>
                <w:rtl/>
              </w:rPr>
            </w:pPr>
          </w:p>
        </w:tc>
      </w:tr>
      <w:tr w:rsidR="008F53E8" w:rsidRPr="006A4844" w:rsidTr="005D1A5D">
        <w:trPr>
          <w:jc w:val="center"/>
        </w:trPr>
        <w:tc>
          <w:tcPr>
            <w:tcW w:w="1799" w:type="dxa"/>
            <w:tcBorders>
              <w:top w:val="single" w:sz="4" w:space="0" w:color="auto"/>
              <w:bottom w:val="single" w:sz="4" w:space="0" w:color="auto"/>
            </w:tcBorders>
          </w:tcPr>
          <w:p w:rsidR="008F53E8" w:rsidRPr="000E5AEB" w:rsidRDefault="0085133A" w:rsidP="005D1A5D">
            <w:pPr>
              <w:bidi w:val="0"/>
              <w:outlineLvl w:val="0"/>
              <w:rPr>
                <w:rFonts w:cs="Times New Roman"/>
                <w:b/>
                <w:bCs/>
              </w:rPr>
            </w:pPr>
            <w:r>
              <w:rPr>
                <w:rFonts w:cs="Times New Roman"/>
                <w:b/>
                <w:bCs/>
                <w:sz w:val="22"/>
                <w:szCs w:val="22"/>
              </w:rPr>
              <w:t>4.9 Overdose</w:t>
            </w:r>
          </w:p>
        </w:tc>
        <w:tc>
          <w:tcPr>
            <w:tcW w:w="4296" w:type="dxa"/>
            <w:tcBorders>
              <w:top w:val="single" w:sz="4" w:space="0" w:color="auto"/>
              <w:bottom w:val="single" w:sz="4" w:space="0" w:color="auto"/>
            </w:tcBorders>
          </w:tcPr>
          <w:p w:rsidR="0085133A" w:rsidRPr="0085133A" w:rsidRDefault="0085133A" w:rsidP="000C0257">
            <w:pPr>
              <w:tabs>
                <w:tab w:val="left" w:pos="567"/>
              </w:tabs>
              <w:bidi w:val="0"/>
              <w:rPr>
                <w:rFonts w:eastAsiaTheme="minorHAnsi" w:cstheme="minorBidi"/>
                <w:lang w:eastAsia="en-US"/>
              </w:rPr>
            </w:pPr>
            <w:r w:rsidRPr="0085133A">
              <w:rPr>
                <w:rFonts w:eastAsiaTheme="minorHAnsi" w:cstheme="minorBidi"/>
                <w:sz w:val="22"/>
                <w:szCs w:val="22"/>
                <w:lang w:val="en-GB" w:eastAsia="en-US"/>
              </w:rPr>
              <w:t xml:space="preserve">Thereafter, </w:t>
            </w:r>
            <w:proofErr w:type="spellStart"/>
            <w:r w:rsidRPr="0085133A">
              <w:rPr>
                <w:rFonts w:eastAsiaTheme="minorHAnsi" w:cstheme="minorBidi"/>
                <w:sz w:val="22"/>
                <w:szCs w:val="22"/>
                <w:lang w:val="en-GB" w:eastAsia="en-US"/>
              </w:rPr>
              <w:t>penicillamine</w:t>
            </w:r>
            <w:proofErr w:type="spellEnd"/>
            <w:r w:rsidRPr="0085133A">
              <w:rPr>
                <w:rFonts w:eastAsiaTheme="minorHAnsi" w:cstheme="minorBidi"/>
                <w:sz w:val="22"/>
                <w:szCs w:val="22"/>
                <w:lang w:val="en-GB" w:eastAsia="en-US"/>
              </w:rPr>
              <w:t xml:space="preserve"> at a daily dose ≤ 1</w:t>
            </w:r>
            <w:r w:rsidRPr="0085133A">
              <w:rPr>
                <w:rFonts w:cs="Times New Roman"/>
                <w:sz w:val="22"/>
                <w:szCs w:val="20"/>
                <w:lang w:val="en-GB" w:eastAsia="en-US" w:bidi="ar-SA"/>
              </w:rPr>
              <w:t> </w:t>
            </w:r>
            <w:r w:rsidRPr="0085133A">
              <w:rPr>
                <w:rFonts w:eastAsiaTheme="minorHAnsi" w:cstheme="minorBidi"/>
                <w:sz w:val="22"/>
                <w:szCs w:val="22"/>
                <w:lang w:val="en-GB" w:eastAsia="en-US"/>
              </w:rPr>
              <w:t xml:space="preserve">gm per day may be given. In the presence of coagulopathy, the oral administration of the chelating agent </w:t>
            </w:r>
            <w:proofErr w:type="spellStart"/>
            <w:r w:rsidRPr="0085133A">
              <w:rPr>
                <w:rFonts w:eastAsiaTheme="minorHAnsi" w:cstheme="minorBidi"/>
                <w:sz w:val="22"/>
                <w:szCs w:val="22"/>
                <w:lang w:val="en-GB" w:eastAsia="en-US"/>
              </w:rPr>
              <w:t>Dimercaptosuccinic</w:t>
            </w:r>
            <w:proofErr w:type="spellEnd"/>
            <w:r w:rsidRPr="0085133A">
              <w:rPr>
                <w:rFonts w:eastAsiaTheme="minorHAnsi" w:cstheme="minorBidi"/>
                <w:sz w:val="22"/>
                <w:szCs w:val="22"/>
                <w:lang w:val="en-GB" w:eastAsia="en-US"/>
              </w:rPr>
              <w:t xml:space="preserve"> Acid </w:t>
            </w:r>
            <w:proofErr w:type="spellStart"/>
            <w:r w:rsidRPr="0085133A">
              <w:rPr>
                <w:rFonts w:eastAsiaTheme="minorHAnsi" w:cstheme="minorBidi"/>
                <w:sz w:val="22"/>
                <w:szCs w:val="22"/>
                <w:lang w:val="en-GB" w:eastAsia="en-US"/>
              </w:rPr>
              <w:t>Succimer</w:t>
            </w:r>
            <w:proofErr w:type="spellEnd"/>
            <w:r w:rsidRPr="0085133A">
              <w:rPr>
                <w:rFonts w:eastAsiaTheme="minorHAnsi" w:cstheme="minorBidi"/>
                <w:sz w:val="22"/>
                <w:szCs w:val="22"/>
                <w:lang w:val="en-GB" w:eastAsia="en-US"/>
              </w:rPr>
              <w:t xml:space="preserve"> (DCI) 10</w:t>
            </w:r>
            <w:r w:rsidRPr="0085133A">
              <w:rPr>
                <w:rFonts w:cs="Times New Roman"/>
                <w:sz w:val="22"/>
                <w:szCs w:val="20"/>
                <w:lang w:val="en-GB" w:eastAsia="en-US" w:bidi="ar-SA"/>
              </w:rPr>
              <w:t> </w:t>
            </w:r>
            <w:r w:rsidRPr="0085133A">
              <w:rPr>
                <w:rFonts w:eastAsiaTheme="minorHAnsi" w:cstheme="minorBidi"/>
                <w:sz w:val="22"/>
                <w:szCs w:val="22"/>
                <w:lang w:val="en-GB" w:eastAsia="en-US"/>
              </w:rPr>
              <w:t>mg/kg or 350</w:t>
            </w:r>
            <w:r w:rsidRPr="0085133A">
              <w:rPr>
                <w:rFonts w:cs="Times New Roman"/>
                <w:sz w:val="22"/>
                <w:szCs w:val="20"/>
                <w:lang w:val="en-GB" w:eastAsia="en-US" w:bidi="ar-SA"/>
              </w:rPr>
              <w:t> </w:t>
            </w:r>
            <w:r w:rsidRPr="0085133A">
              <w:rPr>
                <w:rFonts w:eastAsiaTheme="minorHAnsi" w:cstheme="minorBidi"/>
                <w:sz w:val="22"/>
                <w:szCs w:val="22"/>
                <w:lang w:val="en-GB" w:eastAsia="en-US"/>
              </w:rPr>
              <w:t>mg/m</w:t>
            </w:r>
            <w:r w:rsidRPr="0085133A">
              <w:rPr>
                <w:rFonts w:eastAsiaTheme="minorHAnsi" w:cstheme="minorBidi"/>
                <w:sz w:val="22"/>
                <w:szCs w:val="22"/>
                <w:vertAlign w:val="superscript"/>
                <w:lang w:val="en-GB" w:eastAsia="en-US"/>
              </w:rPr>
              <w:t>2</w:t>
            </w:r>
            <w:r w:rsidRPr="0085133A">
              <w:rPr>
                <w:rFonts w:eastAsiaTheme="minorHAnsi" w:cstheme="minorBidi"/>
                <w:sz w:val="22"/>
                <w:szCs w:val="22"/>
                <w:lang w:val="en-GB" w:eastAsia="en-US"/>
              </w:rPr>
              <w:t xml:space="preserve"> every 8</w:t>
            </w:r>
            <w:r w:rsidRPr="0085133A">
              <w:rPr>
                <w:rFonts w:cs="Times New Roman"/>
                <w:sz w:val="22"/>
                <w:szCs w:val="20"/>
                <w:lang w:val="en-GB" w:eastAsia="en-US" w:bidi="ar-SA"/>
              </w:rPr>
              <w:t> </w:t>
            </w:r>
            <w:r w:rsidRPr="0085133A">
              <w:rPr>
                <w:rFonts w:eastAsiaTheme="minorHAnsi" w:cstheme="minorBidi"/>
                <w:sz w:val="22"/>
                <w:szCs w:val="22"/>
                <w:lang w:val="en-GB" w:eastAsia="en-US"/>
              </w:rPr>
              <w:t>hours during 5</w:t>
            </w:r>
            <w:r w:rsidRPr="0085133A">
              <w:rPr>
                <w:rFonts w:cs="Times New Roman"/>
                <w:sz w:val="22"/>
                <w:szCs w:val="20"/>
                <w:lang w:val="en-GB" w:eastAsia="en-US" w:bidi="ar-SA"/>
              </w:rPr>
              <w:t> </w:t>
            </w:r>
            <w:r w:rsidRPr="0085133A">
              <w:rPr>
                <w:rFonts w:eastAsiaTheme="minorHAnsi" w:cstheme="minorBidi"/>
                <w:sz w:val="22"/>
                <w:szCs w:val="22"/>
                <w:lang w:val="en-GB" w:eastAsia="en-US"/>
              </w:rPr>
              <w:t>days and then every 12</w:t>
            </w:r>
            <w:r w:rsidRPr="0085133A">
              <w:rPr>
                <w:rFonts w:cs="Times New Roman"/>
                <w:sz w:val="22"/>
                <w:szCs w:val="20"/>
                <w:lang w:val="en-GB" w:eastAsia="en-US" w:bidi="ar-SA"/>
              </w:rPr>
              <w:t> </w:t>
            </w:r>
            <w:r w:rsidRPr="0085133A">
              <w:rPr>
                <w:rFonts w:eastAsiaTheme="minorHAnsi" w:cstheme="minorBidi"/>
                <w:sz w:val="22"/>
                <w:szCs w:val="22"/>
                <w:lang w:val="en-GB" w:eastAsia="en-US"/>
              </w:rPr>
              <w:t>hours during 2</w:t>
            </w:r>
            <w:r w:rsidRPr="0085133A">
              <w:rPr>
                <w:rFonts w:cs="Times New Roman"/>
                <w:sz w:val="22"/>
                <w:szCs w:val="20"/>
                <w:lang w:val="en-GB" w:eastAsia="en-US" w:bidi="ar-SA"/>
              </w:rPr>
              <w:t> </w:t>
            </w:r>
            <w:r w:rsidRPr="0085133A">
              <w:rPr>
                <w:rFonts w:eastAsiaTheme="minorHAnsi" w:cstheme="minorBidi"/>
                <w:sz w:val="22"/>
                <w:szCs w:val="22"/>
                <w:lang w:val="en-GB" w:eastAsia="en-US"/>
              </w:rPr>
              <w:t>weeks is recommended.</w:t>
            </w:r>
            <w:r w:rsidRPr="0085133A">
              <w:rPr>
                <w:rFonts w:cs="Times New Roman"/>
                <w:sz w:val="22"/>
                <w:szCs w:val="20"/>
                <w:lang w:val="en-GB" w:eastAsia="en-US" w:bidi="ar-SA"/>
              </w:rPr>
              <w:t xml:space="preserve"> </w:t>
            </w:r>
          </w:p>
          <w:p w:rsidR="005B1CA2" w:rsidRPr="0085133A" w:rsidRDefault="005B1CA2" w:rsidP="005B1CA2">
            <w:pPr>
              <w:bidi w:val="0"/>
              <w:rPr>
                <w:rFonts w:cs="Times New Roman"/>
                <w:b/>
                <w:bCs/>
                <w:rtl/>
                <w:lang w:val="en-GB"/>
              </w:rPr>
            </w:pPr>
          </w:p>
        </w:tc>
        <w:tc>
          <w:tcPr>
            <w:tcW w:w="4252" w:type="dxa"/>
            <w:tcBorders>
              <w:top w:val="single" w:sz="4" w:space="0" w:color="auto"/>
              <w:bottom w:val="single" w:sz="4" w:space="0" w:color="auto"/>
              <w:right w:val="single" w:sz="4" w:space="0" w:color="auto"/>
            </w:tcBorders>
          </w:tcPr>
          <w:p w:rsidR="0085133A" w:rsidRPr="0085133A" w:rsidRDefault="0085133A" w:rsidP="0085133A">
            <w:pPr>
              <w:tabs>
                <w:tab w:val="left" w:pos="567"/>
              </w:tabs>
              <w:bidi w:val="0"/>
              <w:rPr>
                <w:rFonts w:eastAsiaTheme="minorHAnsi" w:cstheme="minorBidi"/>
                <w:lang w:val="en-GB" w:eastAsia="en-US"/>
              </w:rPr>
            </w:pPr>
            <w:r w:rsidRPr="0085133A">
              <w:rPr>
                <w:rFonts w:eastAsiaTheme="minorHAnsi" w:cstheme="minorBidi"/>
                <w:sz w:val="22"/>
                <w:szCs w:val="22"/>
                <w:lang w:val="en-GB" w:eastAsia="en-US"/>
              </w:rPr>
              <w:t xml:space="preserve">Thereafter, </w:t>
            </w:r>
            <w:proofErr w:type="spellStart"/>
            <w:r w:rsidRPr="0085133A">
              <w:rPr>
                <w:rFonts w:eastAsiaTheme="minorHAnsi" w:cstheme="minorBidi"/>
                <w:sz w:val="22"/>
                <w:szCs w:val="22"/>
                <w:lang w:val="en-GB" w:eastAsia="en-US"/>
              </w:rPr>
              <w:t>penicillamine</w:t>
            </w:r>
            <w:proofErr w:type="spellEnd"/>
            <w:r w:rsidRPr="0085133A">
              <w:rPr>
                <w:rFonts w:eastAsiaTheme="minorHAnsi" w:cstheme="minorBidi"/>
                <w:sz w:val="22"/>
                <w:szCs w:val="22"/>
                <w:lang w:val="en-GB" w:eastAsia="en-US"/>
              </w:rPr>
              <w:t xml:space="preserve"> at a daily dose ≤ 1</w:t>
            </w:r>
            <w:r w:rsidRPr="0085133A">
              <w:rPr>
                <w:rFonts w:cs="Times New Roman"/>
                <w:sz w:val="22"/>
                <w:szCs w:val="20"/>
                <w:lang w:val="en-GB" w:eastAsia="en-US" w:bidi="ar-SA"/>
              </w:rPr>
              <w:t> </w:t>
            </w:r>
            <w:r w:rsidRPr="0085133A">
              <w:rPr>
                <w:rFonts w:eastAsiaTheme="minorHAnsi" w:cstheme="minorBidi"/>
                <w:sz w:val="22"/>
                <w:szCs w:val="22"/>
                <w:lang w:val="en-GB" w:eastAsia="en-US"/>
              </w:rPr>
              <w:t xml:space="preserve">gm per day may be given. In the presence of coagulopathy, the oral administration of the chelating agent </w:t>
            </w:r>
            <w:proofErr w:type="spellStart"/>
            <w:r w:rsidRPr="0085133A">
              <w:rPr>
                <w:rFonts w:eastAsiaTheme="minorHAnsi" w:cstheme="minorBidi"/>
                <w:sz w:val="22"/>
                <w:szCs w:val="22"/>
                <w:lang w:val="en-GB" w:eastAsia="en-US"/>
              </w:rPr>
              <w:t>Dimercaptosuccinic</w:t>
            </w:r>
            <w:proofErr w:type="spellEnd"/>
            <w:r w:rsidRPr="0085133A">
              <w:rPr>
                <w:rFonts w:eastAsiaTheme="minorHAnsi" w:cstheme="minorBidi"/>
                <w:sz w:val="22"/>
                <w:szCs w:val="22"/>
                <w:lang w:val="en-GB" w:eastAsia="en-US"/>
              </w:rPr>
              <w:t xml:space="preserve"> Acid </w:t>
            </w:r>
            <w:proofErr w:type="spellStart"/>
            <w:r w:rsidRPr="0085133A">
              <w:rPr>
                <w:rFonts w:eastAsiaTheme="minorHAnsi" w:cstheme="minorBidi"/>
                <w:sz w:val="22"/>
                <w:szCs w:val="22"/>
                <w:lang w:val="en-GB" w:eastAsia="en-US"/>
              </w:rPr>
              <w:t>Succimer</w:t>
            </w:r>
            <w:proofErr w:type="spellEnd"/>
            <w:r w:rsidRPr="0085133A">
              <w:rPr>
                <w:rFonts w:eastAsiaTheme="minorHAnsi" w:cstheme="minorBidi"/>
                <w:sz w:val="22"/>
                <w:szCs w:val="22"/>
                <w:lang w:val="en-GB" w:eastAsia="en-US"/>
              </w:rPr>
              <w:t xml:space="preserve"> (DCI) 10</w:t>
            </w:r>
            <w:r w:rsidRPr="0085133A">
              <w:rPr>
                <w:rFonts w:cs="Times New Roman"/>
                <w:sz w:val="22"/>
                <w:szCs w:val="20"/>
                <w:lang w:val="en-GB" w:eastAsia="en-US" w:bidi="ar-SA"/>
              </w:rPr>
              <w:t> </w:t>
            </w:r>
            <w:r w:rsidRPr="0085133A">
              <w:rPr>
                <w:rFonts w:eastAsiaTheme="minorHAnsi" w:cstheme="minorBidi"/>
                <w:sz w:val="22"/>
                <w:szCs w:val="22"/>
                <w:lang w:val="en-GB" w:eastAsia="en-US"/>
              </w:rPr>
              <w:t>mg/kg or 350</w:t>
            </w:r>
            <w:r w:rsidRPr="0085133A">
              <w:rPr>
                <w:rFonts w:cs="Times New Roman"/>
                <w:sz w:val="22"/>
                <w:szCs w:val="20"/>
                <w:lang w:val="en-GB" w:eastAsia="en-US" w:bidi="ar-SA"/>
              </w:rPr>
              <w:t> </w:t>
            </w:r>
            <w:r w:rsidRPr="0085133A">
              <w:rPr>
                <w:rFonts w:eastAsiaTheme="minorHAnsi" w:cstheme="minorBidi"/>
                <w:sz w:val="22"/>
                <w:szCs w:val="22"/>
                <w:lang w:val="en-GB" w:eastAsia="en-US"/>
              </w:rPr>
              <w:t>mg/m</w:t>
            </w:r>
            <w:r w:rsidRPr="0085133A">
              <w:rPr>
                <w:rFonts w:eastAsiaTheme="minorHAnsi" w:cstheme="minorBidi"/>
                <w:sz w:val="22"/>
                <w:szCs w:val="22"/>
                <w:vertAlign w:val="superscript"/>
                <w:lang w:val="en-GB" w:eastAsia="en-US"/>
              </w:rPr>
              <w:t>2</w:t>
            </w:r>
            <w:r w:rsidRPr="0085133A">
              <w:rPr>
                <w:rFonts w:eastAsiaTheme="minorHAnsi" w:cstheme="minorBidi"/>
                <w:sz w:val="22"/>
                <w:szCs w:val="22"/>
                <w:lang w:val="en-GB" w:eastAsia="en-US"/>
              </w:rPr>
              <w:t xml:space="preserve"> every 8</w:t>
            </w:r>
            <w:r w:rsidRPr="0085133A">
              <w:rPr>
                <w:rFonts w:cs="Times New Roman"/>
                <w:sz w:val="22"/>
                <w:szCs w:val="20"/>
                <w:lang w:val="en-GB" w:eastAsia="en-US" w:bidi="ar-SA"/>
              </w:rPr>
              <w:t> </w:t>
            </w:r>
            <w:r w:rsidRPr="0085133A">
              <w:rPr>
                <w:rFonts w:eastAsiaTheme="minorHAnsi" w:cstheme="minorBidi"/>
                <w:sz w:val="22"/>
                <w:szCs w:val="22"/>
                <w:lang w:val="en-GB" w:eastAsia="en-US"/>
              </w:rPr>
              <w:t>hours during 5</w:t>
            </w:r>
            <w:r w:rsidRPr="0085133A">
              <w:rPr>
                <w:rFonts w:cs="Times New Roman"/>
                <w:sz w:val="22"/>
                <w:szCs w:val="20"/>
                <w:lang w:val="en-GB" w:eastAsia="en-US" w:bidi="ar-SA"/>
              </w:rPr>
              <w:t> </w:t>
            </w:r>
            <w:r w:rsidRPr="0085133A">
              <w:rPr>
                <w:rFonts w:eastAsiaTheme="minorHAnsi" w:cstheme="minorBidi"/>
                <w:sz w:val="22"/>
                <w:szCs w:val="22"/>
                <w:lang w:val="en-GB" w:eastAsia="en-US"/>
              </w:rPr>
              <w:t>days and then every 12</w:t>
            </w:r>
            <w:r w:rsidRPr="0085133A">
              <w:rPr>
                <w:rFonts w:cs="Times New Roman"/>
                <w:sz w:val="22"/>
                <w:szCs w:val="20"/>
                <w:lang w:val="en-GB" w:eastAsia="en-US" w:bidi="ar-SA"/>
              </w:rPr>
              <w:t> </w:t>
            </w:r>
            <w:r w:rsidRPr="0085133A">
              <w:rPr>
                <w:rFonts w:eastAsiaTheme="minorHAnsi" w:cstheme="minorBidi"/>
                <w:sz w:val="22"/>
                <w:szCs w:val="22"/>
                <w:lang w:val="en-GB" w:eastAsia="en-US"/>
              </w:rPr>
              <w:t>hours during 2</w:t>
            </w:r>
            <w:r w:rsidRPr="0085133A">
              <w:rPr>
                <w:rFonts w:cs="Times New Roman"/>
                <w:sz w:val="22"/>
                <w:szCs w:val="20"/>
                <w:lang w:val="en-GB" w:eastAsia="en-US" w:bidi="ar-SA"/>
              </w:rPr>
              <w:t> </w:t>
            </w:r>
            <w:r w:rsidRPr="0085133A">
              <w:rPr>
                <w:rFonts w:eastAsiaTheme="minorHAnsi" w:cstheme="minorBidi"/>
                <w:sz w:val="22"/>
                <w:szCs w:val="22"/>
                <w:lang w:val="en-GB" w:eastAsia="en-US"/>
              </w:rPr>
              <w:t>weeks is recommended.</w:t>
            </w:r>
            <w:r w:rsidRPr="0085133A">
              <w:rPr>
                <w:rFonts w:cs="Times New Roman"/>
                <w:sz w:val="22"/>
                <w:szCs w:val="20"/>
                <w:lang w:val="en-GB" w:eastAsia="en-US" w:bidi="ar-SA"/>
              </w:rPr>
              <w:t xml:space="preserve"> </w:t>
            </w:r>
            <w:r w:rsidRPr="0085133A">
              <w:rPr>
                <w:rFonts w:cs="Times New Roman"/>
                <w:sz w:val="22"/>
                <w:szCs w:val="20"/>
                <w:highlight w:val="yellow"/>
                <w:lang w:val="en-GB" w:eastAsia="en-US" w:bidi="ar-SA"/>
              </w:rPr>
              <w:t>For patients with severe, acute arsenic overdose, dialysis should be considered</w:t>
            </w:r>
            <w:r>
              <w:rPr>
                <w:rFonts w:eastAsiaTheme="minorHAnsi" w:cstheme="minorBidi"/>
                <w:sz w:val="22"/>
                <w:szCs w:val="22"/>
                <w:lang w:eastAsia="en-US"/>
              </w:rPr>
              <w:t>.</w:t>
            </w:r>
            <w:r w:rsidRPr="0085133A">
              <w:rPr>
                <w:rFonts w:eastAsiaTheme="minorHAnsi" w:cstheme="minorBidi"/>
                <w:sz w:val="22"/>
                <w:szCs w:val="22"/>
                <w:lang w:val="en-GB" w:eastAsia="en-US"/>
              </w:rPr>
              <w:t xml:space="preserve"> </w:t>
            </w:r>
          </w:p>
          <w:p w:rsidR="000C3BB7" w:rsidRPr="0085133A" w:rsidRDefault="000C3BB7" w:rsidP="000C3BB7">
            <w:pPr>
              <w:rPr>
                <w:rFonts w:cs="Times New Roman"/>
                <w:b/>
                <w:bCs/>
              </w:rPr>
            </w:pPr>
          </w:p>
        </w:tc>
      </w:tr>
      <w:tr w:rsidR="005B1CA2" w:rsidRPr="006A4844" w:rsidTr="005D1A5D">
        <w:trPr>
          <w:jc w:val="center"/>
        </w:trPr>
        <w:tc>
          <w:tcPr>
            <w:tcW w:w="1799" w:type="dxa"/>
            <w:tcBorders>
              <w:top w:val="single" w:sz="4" w:space="0" w:color="auto"/>
              <w:bottom w:val="single" w:sz="4" w:space="0" w:color="auto"/>
            </w:tcBorders>
          </w:tcPr>
          <w:p w:rsidR="005B1CA2" w:rsidRPr="000E5AEB" w:rsidRDefault="00FD66C2" w:rsidP="005D1A5D">
            <w:pPr>
              <w:bidi w:val="0"/>
              <w:outlineLvl w:val="0"/>
              <w:rPr>
                <w:rFonts w:cs="Times New Roman"/>
                <w:b/>
                <w:bCs/>
              </w:rPr>
            </w:pPr>
            <w:r>
              <w:rPr>
                <w:rFonts w:cs="Times New Roman" w:hint="cs"/>
                <w:b/>
                <w:bCs/>
                <w:rtl/>
              </w:rPr>
              <w:t xml:space="preserve">5.1 </w:t>
            </w:r>
            <w:proofErr w:type="spellStart"/>
            <w:r>
              <w:rPr>
                <w:rFonts w:cs="Times New Roman"/>
                <w:b/>
                <w:bCs/>
              </w:rPr>
              <w:t>Pharmacodynamic</w:t>
            </w:r>
            <w:proofErr w:type="spellEnd"/>
            <w:r>
              <w:rPr>
                <w:rFonts w:cs="Times New Roman"/>
                <w:b/>
                <w:bCs/>
              </w:rPr>
              <w:t xml:space="preserve"> properties</w:t>
            </w:r>
          </w:p>
        </w:tc>
        <w:tc>
          <w:tcPr>
            <w:tcW w:w="4296" w:type="dxa"/>
            <w:tcBorders>
              <w:top w:val="single" w:sz="4" w:space="0" w:color="auto"/>
              <w:bottom w:val="single" w:sz="4" w:space="0" w:color="auto"/>
            </w:tcBorders>
          </w:tcPr>
          <w:p w:rsidR="00FD66C2" w:rsidRPr="00FD66C2" w:rsidRDefault="00FD66C2" w:rsidP="00FD66C2">
            <w:pPr>
              <w:bidi w:val="0"/>
              <w:spacing w:line="360" w:lineRule="auto"/>
              <w:rPr>
                <w:rFonts w:eastAsiaTheme="minorHAnsi" w:cstheme="minorBidi"/>
                <w:lang w:eastAsia="en-US"/>
              </w:rPr>
            </w:pPr>
            <w:r w:rsidRPr="00FD66C2">
              <w:rPr>
                <w:rFonts w:eastAsiaTheme="minorHAnsi" w:cstheme="minorBidi"/>
                <w:sz w:val="22"/>
                <w:szCs w:val="22"/>
                <w:lang w:val="en-GB" w:eastAsia="en-US"/>
              </w:rPr>
              <w:t>TRISENOX has been authorised under “Exceptional Circumstances”. This means that due to the</w:t>
            </w:r>
          </w:p>
          <w:p w:rsidR="00FD66C2" w:rsidRPr="00FD66C2" w:rsidRDefault="00FD66C2" w:rsidP="00FD66C2">
            <w:pPr>
              <w:bidi w:val="0"/>
              <w:spacing w:before="1" w:line="360" w:lineRule="auto"/>
              <w:rPr>
                <w:rFonts w:eastAsiaTheme="minorHAnsi" w:cstheme="minorBidi"/>
                <w:lang w:val="en-GB" w:eastAsia="en-US"/>
              </w:rPr>
            </w:pPr>
            <w:proofErr w:type="gramStart"/>
            <w:r w:rsidRPr="00FD66C2">
              <w:rPr>
                <w:rFonts w:eastAsiaTheme="minorHAnsi" w:cstheme="minorBidi"/>
                <w:sz w:val="22"/>
                <w:szCs w:val="22"/>
                <w:lang w:val="en-GB" w:eastAsia="en-US"/>
              </w:rPr>
              <w:t>rarity</w:t>
            </w:r>
            <w:proofErr w:type="gramEnd"/>
            <w:r w:rsidRPr="00FD66C2">
              <w:rPr>
                <w:rFonts w:eastAsiaTheme="minorHAnsi" w:cstheme="minorBidi"/>
                <w:sz w:val="22"/>
                <w:szCs w:val="22"/>
                <w:lang w:val="en-GB" w:eastAsia="en-US"/>
              </w:rPr>
              <w:t xml:space="preserve"> of the disease, it has not been possible to obtain complete information on this </w:t>
            </w:r>
            <w:r w:rsidRPr="00FD66C2">
              <w:rPr>
                <w:rFonts w:eastAsiaTheme="minorHAnsi" w:cstheme="minorBidi"/>
                <w:sz w:val="22"/>
                <w:szCs w:val="22"/>
                <w:lang w:val="en-GB" w:eastAsia="en-US"/>
              </w:rPr>
              <w:lastRenderedPageBreak/>
              <w:t>medicinal product.</w:t>
            </w:r>
          </w:p>
          <w:p w:rsidR="00FD66C2" w:rsidRPr="00FD66C2" w:rsidRDefault="00FD66C2" w:rsidP="00FD66C2">
            <w:pPr>
              <w:bidi w:val="0"/>
              <w:spacing w:before="77" w:line="360" w:lineRule="auto"/>
              <w:rPr>
                <w:rFonts w:eastAsiaTheme="minorHAnsi" w:cstheme="minorBidi"/>
                <w:lang w:val="en-GB" w:eastAsia="en-US"/>
              </w:rPr>
            </w:pPr>
            <w:r w:rsidRPr="00FD66C2">
              <w:rPr>
                <w:rFonts w:eastAsiaTheme="minorHAnsi" w:cstheme="minorBidi"/>
                <w:sz w:val="22"/>
                <w:szCs w:val="22"/>
                <w:lang w:val="en-GB" w:eastAsia="en-US"/>
              </w:rPr>
              <w:t>The European Medicines Agency (EMEA) will review any new information which may become available every year and this SPC will be updated as necessary.</w:t>
            </w:r>
          </w:p>
          <w:p w:rsidR="005B1CA2" w:rsidRPr="000E5AEB" w:rsidRDefault="005B1CA2" w:rsidP="005D1A5D">
            <w:pPr>
              <w:bidi w:val="0"/>
              <w:rPr>
                <w:rFonts w:cs="Times New Roman"/>
                <w:b/>
                <w:bCs/>
                <w:rtl/>
              </w:rPr>
            </w:pPr>
          </w:p>
        </w:tc>
        <w:tc>
          <w:tcPr>
            <w:tcW w:w="4252" w:type="dxa"/>
            <w:tcBorders>
              <w:top w:val="single" w:sz="4" w:space="0" w:color="auto"/>
              <w:bottom w:val="single" w:sz="4" w:space="0" w:color="auto"/>
              <w:right w:val="single" w:sz="4" w:space="0" w:color="auto"/>
            </w:tcBorders>
          </w:tcPr>
          <w:p w:rsidR="00FD66C2" w:rsidRPr="00FD66C2" w:rsidRDefault="00FD66C2" w:rsidP="00FD66C2">
            <w:pPr>
              <w:bidi w:val="0"/>
              <w:spacing w:line="360" w:lineRule="auto"/>
              <w:rPr>
                <w:rFonts w:eastAsiaTheme="minorHAnsi" w:cstheme="minorBidi"/>
                <w:strike/>
                <w:highlight w:val="yellow"/>
                <w:lang w:val="en-GB" w:eastAsia="en-US"/>
              </w:rPr>
            </w:pPr>
            <w:r w:rsidRPr="00FD66C2">
              <w:rPr>
                <w:rFonts w:eastAsiaTheme="minorHAnsi" w:cstheme="minorBidi"/>
                <w:strike/>
                <w:sz w:val="22"/>
                <w:szCs w:val="22"/>
                <w:highlight w:val="yellow"/>
                <w:lang w:val="en-GB" w:eastAsia="en-US"/>
              </w:rPr>
              <w:lastRenderedPageBreak/>
              <w:t>TRISENOX has been authorised under “Exceptional Circumstances”. This means that due to the</w:t>
            </w:r>
          </w:p>
          <w:p w:rsidR="00FD66C2" w:rsidRPr="00FD66C2" w:rsidRDefault="00FD66C2" w:rsidP="00FD66C2">
            <w:pPr>
              <w:bidi w:val="0"/>
              <w:spacing w:before="1" w:line="360" w:lineRule="auto"/>
              <w:rPr>
                <w:rFonts w:eastAsiaTheme="minorHAnsi" w:cstheme="minorBidi"/>
                <w:strike/>
                <w:highlight w:val="yellow"/>
                <w:lang w:val="en-GB" w:eastAsia="en-US"/>
              </w:rPr>
            </w:pPr>
            <w:proofErr w:type="gramStart"/>
            <w:r w:rsidRPr="00FD66C2">
              <w:rPr>
                <w:rFonts w:eastAsiaTheme="minorHAnsi" w:cstheme="minorBidi"/>
                <w:strike/>
                <w:sz w:val="22"/>
                <w:szCs w:val="22"/>
                <w:highlight w:val="yellow"/>
                <w:lang w:val="en-GB" w:eastAsia="en-US"/>
              </w:rPr>
              <w:t>rarity</w:t>
            </w:r>
            <w:proofErr w:type="gramEnd"/>
            <w:r w:rsidRPr="00FD66C2">
              <w:rPr>
                <w:rFonts w:eastAsiaTheme="minorHAnsi" w:cstheme="minorBidi"/>
                <w:strike/>
                <w:sz w:val="22"/>
                <w:szCs w:val="22"/>
                <w:highlight w:val="yellow"/>
                <w:lang w:val="en-GB" w:eastAsia="en-US"/>
              </w:rPr>
              <w:t xml:space="preserve"> of the disease, it has not been possible to obtain complete information on this </w:t>
            </w:r>
            <w:r w:rsidRPr="00FD66C2">
              <w:rPr>
                <w:rFonts w:eastAsiaTheme="minorHAnsi" w:cstheme="minorBidi"/>
                <w:strike/>
                <w:sz w:val="22"/>
                <w:szCs w:val="22"/>
                <w:highlight w:val="yellow"/>
                <w:lang w:val="en-GB" w:eastAsia="en-US"/>
              </w:rPr>
              <w:lastRenderedPageBreak/>
              <w:t>medicinal product.</w:t>
            </w:r>
          </w:p>
          <w:p w:rsidR="00FD66C2" w:rsidRPr="00FD66C2" w:rsidRDefault="00FD66C2" w:rsidP="00FD66C2">
            <w:pPr>
              <w:bidi w:val="0"/>
              <w:spacing w:before="77" w:line="360" w:lineRule="auto"/>
              <w:rPr>
                <w:rFonts w:eastAsiaTheme="minorHAnsi" w:cstheme="minorBidi"/>
                <w:strike/>
                <w:lang w:eastAsia="en-US"/>
              </w:rPr>
            </w:pPr>
            <w:r w:rsidRPr="00FD66C2">
              <w:rPr>
                <w:rFonts w:eastAsiaTheme="minorHAnsi" w:cstheme="minorBidi"/>
                <w:strike/>
                <w:sz w:val="22"/>
                <w:szCs w:val="22"/>
                <w:highlight w:val="yellow"/>
                <w:lang w:val="en-GB" w:eastAsia="en-US"/>
              </w:rPr>
              <w:t>The European Medicines Agency (EMEA) will review any new information which may become available every year and this SPC will be updated as necessary.</w:t>
            </w:r>
          </w:p>
          <w:p w:rsidR="005B1CA2" w:rsidRPr="00FD66C2" w:rsidRDefault="005B1CA2" w:rsidP="005D1A5D">
            <w:pPr>
              <w:rPr>
                <w:rFonts w:cs="Times New Roman"/>
                <w:b/>
                <w:bCs/>
                <w:rtl/>
                <w:lang w:val="en-GB"/>
              </w:rPr>
            </w:pPr>
          </w:p>
        </w:tc>
      </w:tr>
    </w:tbl>
    <w:p w:rsidR="008F53E8" w:rsidRDefault="008F53E8">
      <w:pPr>
        <w:rPr>
          <w:rtl/>
        </w:rPr>
      </w:pPr>
    </w:p>
    <w:p w:rsidR="009A0F25" w:rsidRDefault="009A0F25">
      <w:pPr>
        <w:rPr>
          <w:rtl/>
        </w:rPr>
      </w:pPr>
    </w:p>
    <w:p w:rsidR="009A0F25" w:rsidRDefault="00FD66C2" w:rsidP="00FD66C2">
      <w:pPr>
        <w:rPr>
          <w:rtl/>
        </w:rPr>
      </w:pPr>
      <w:r>
        <w:rPr>
          <w:rFonts w:cs="Times New Roman" w:hint="cs"/>
          <w:b/>
          <w:bCs/>
          <w:sz w:val="22"/>
          <w:szCs w:val="22"/>
          <w:rtl/>
          <w:lang w:eastAsia="en-US"/>
        </w:rPr>
        <w:t>גרף קיים ( סעיף 5.1) :</w:t>
      </w:r>
    </w:p>
    <w:p w:rsidR="00FD66C2" w:rsidRDefault="00FD66C2" w:rsidP="00FD66C2">
      <w:pPr>
        <w:rPr>
          <w:rtl/>
        </w:rPr>
      </w:pPr>
    </w:p>
    <w:p w:rsidR="00FD66C2" w:rsidRDefault="00FD66C2" w:rsidP="00FD66C2">
      <w:pPr>
        <w:rPr>
          <w:rtl/>
        </w:rPr>
      </w:pPr>
      <w:r>
        <w:rPr>
          <w:rFonts w:cs="Calibri"/>
          <w:noProof/>
          <w:color w:val="000000"/>
          <w:sz w:val="20"/>
          <w:szCs w:val="20"/>
          <w:lang w:eastAsia="en-US"/>
        </w:rPr>
        <w:drawing>
          <wp:inline distT="0" distB="0" distL="0" distR="0">
            <wp:extent cx="5267325"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324225"/>
                    </a:xfrm>
                    <a:prstGeom prst="rect">
                      <a:avLst/>
                    </a:prstGeom>
                    <a:noFill/>
                    <a:ln>
                      <a:noFill/>
                    </a:ln>
                  </pic:spPr>
                </pic:pic>
              </a:graphicData>
            </a:graphic>
          </wp:inline>
        </w:drawing>
      </w:r>
    </w:p>
    <w:p w:rsidR="00FD66C2" w:rsidRDefault="00FD66C2" w:rsidP="00FD66C2">
      <w:pPr>
        <w:rPr>
          <w:rtl/>
        </w:rPr>
      </w:pPr>
    </w:p>
    <w:p w:rsidR="00FD66C2" w:rsidRDefault="00FD66C2" w:rsidP="00FD66C2">
      <w:pPr>
        <w:rPr>
          <w:rtl/>
        </w:rPr>
      </w:pPr>
    </w:p>
    <w:p w:rsidR="0059473F" w:rsidRDefault="0059473F" w:rsidP="0059473F">
      <w:pPr>
        <w:rPr>
          <w:rFonts w:cs="Times New Roman"/>
          <w:b/>
          <w:bCs/>
          <w:sz w:val="22"/>
          <w:szCs w:val="22"/>
          <w:rtl/>
          <w:lang w:eastAsia="en-US"/>
        </w:rPr>
      </w:pPr>
      <w:r w:rsidRPr="00FD66C2">
        <w:rPr>
          <w:rFonts w:cs="Times New Roman" w:hint="cs"/>
          <w:b/>
          <w:bCs/>
          <w:sz w:val="22"/>
          <w:szCs w:val="22"/>
          <w:rtl/>
          <w:lang w:eastAsia="en-US"/>
        </w:rPr>
        <w:t>הגרף הנ"ל הוסר ובמקומו הוכנס הגרף הבא:</w:t>
      </w:r>
    </w:p>
    <w:p w:rsidR="0059473F" w:rsidRDefault="0059473F" w:rsidP="0059473F">
      <w:pPr>
        <w:rPr>
          <w:rFonts w:cs="Times New Roman"/>
          <w:b/>
          <w:bCs/>
          <w:sz w:val="22"/>
          <w:szCs w:val="22"/>
          <w:rtl/>
          <w:lang w:eastAsia="en-US"/>
        </w:rPr>
      </w:pPr>
    </w:p>
    <w:p w:rsidR="004576C5" w:rsidRDefault="004576C5" w:rsidP="00FD66C2">
      <w:pPr>
        <w:rPr>
          <w:rFonts w:cs="Times New Roman"/>
          <w:b/>
          <w:bCs/>
          <w:sz w:val="22"/>
          <w:szCs w:val="22"/>
          <w:rtl/>
          <w:lang w:eastAsia="en-US"/>
        </w:rPr>
      </w:pPr>
    </w:p>
    <w:bookmarkStart w:id="1" w:name="_MON_1028029590"/>
    <w:bookmarkEnd w:id="1"/>
    <w:p w:rsidR="004576C5" w:rsidRDefault="0059473F" w:rsidP="00FD66C2">
      <w:pPr>
        <w:rPr>
          <w:rFonts w:cs="Times New Roman"/>
          <w:b/>
          <w:bCs/>
          <w:sz w:val="22"/>
          <w:szCs w:val="22"/>
          <w:rtl/>
          <w:lang w:eastAsia="en-US"/>
        </w:rPr>
      </w:pPr>
      <w:r w:rsidRPr="00032104">
        <w:rPr>
          <w:rFonts w:cs="Times New Roman"/>
          <w:b/>
          <w:bCs/>
          <w:szCs w:val="20"/>
          <w:highlight w:val="yellow"/>
          <w:lang w:val="en-GB" w:bidi="ar-SA"/>
        </w:rPr>
        <w:object w:dxaOrig="9341" w:dyaOrig="7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4in" o:ole="" fillcolor="window">
            <v:imagedata r:id="rId6" o:title=""/>
          </v:shape>
          <o:OLEObject Type="Embed" ProgID="Word.Picture.8" ShapeID="_x0000_i1025" DrawAspect="Content" ObjectID="_1417262048" r:id="rId7"/>
        </w:object>
      </w:r>
    </w:p>
    <w:p w:rsidR="004576C5" w:rsidRDefault="004576C5" w:rsidP="00FD66C2">
      <w:pPr>
        <w:rPr>
          <w:rFonts w:cs="Times New Roman"/>
          <w:b/>
          <w:bCs/>
          <w:sz w:val="22"/>
          <w:szCs w:val="22"/>
          <w:rtl/>
          <w:lang w:eastAsia="en-US"/>
        </w:rPr>
      </w:pPr>
    </w:p>
    <w:p w:rsidR="004576C5" w:rsidRDefault="004576C5" w:rsidP="00FD66C2">
      <w:pPr>
        <w:rPr>
          <w:rFonts w:cs="Times New Roman"/>
          <w:b/>
          <w:bCs/>
          <w:sz w:val="22"/>
          <w:szCs w:val="22"/>
          <w:rtl/>
          <w:lang w:eastAsia="en-US"/>
        </w:rPr>
      </w:pPr>
    </w:p>
    <w:p w:rsidR="004576C5" w:rsidRDefault="004576C5" w:rsidP="00FD66C2">
      <w:pPr>
        <w:rPr>
          <w:rFonts w:cs="Times New Roman"/>
          <w:b/>
          <w:bCs/>
          <w:sz w:val="22"/>
          <w:szCs w:val="22"/>
          <w:rtl/>
          <w:lang w:eastAsia="en-US"/>
        </w:rPr>
      </w:pPr>
    </w:p>
    <w:p w:rsidR="004576C5" w:rsidRDefault="004576C5" w:rsidP="00FD66C2">
      <w:pPr>
        <w:rPr>
          <w:rFonts w:cs="Times New Roman"/>
          <w:b/>
          <w:bCs/>
          <w:sz w:val="22"/>
          <w:szCs w:val="22"/>
          <w:rtl/>
          <w:lang w:eastAsia="en-US"/>
        </w:rPr>
      </w:pP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96"/>
        <w:gridCol w:w="4252"/>
      </w:tblGrid>
      <w:tr w:rsidR="00B776E8" w:rsidRPr="000E5AEB" w:rsidTr="00430708">
        <w:trPr>
          <w:cantSplit/>
          <w:jc w:val="center"/>
        </w:trPr>
        <w:tc>
          <w:tcPr>
            <w:tcW w:w="10347" w:type="dxa"/>
            <w:gridSpan w:val="3"/>
            <w:tcBorders>
              <w:bottom w:val="single" w:sz="4" w:space="0" w:color="auto"/>
              <w:right w:val="single" w:sz="4" w:space="0" w:color="auto"/>
            </w:tcBorders>
            <w:shd w:val="pct12" w:color="auto" w:fill="FFFFFF"/>
          </w:tcPr>
          <w:p w:rsidR="00B776E8" w:rsidRPr="000E5AEB" w:rsidRDefault="00B776E8" w:rsidP="00430708">
            <w:pPr>
              <w:jc w:val="center"/>
              <w:rPr>
                <w:rFonts w:cs="Times New Roman"/>
                <w:b/>
                <w:bCs/>
                <w:rtl/>
              </w:rPr>
            </w:pPr>
          </w:p>
          <w:p w:rsidR="00B776E8" w:rsidRPr="000E5AEB" w:rsidRDefault="00B776E8" w:rsidP="00430708">
            <w:pPr>
              <w:jc w:val="center"/>
              <w:rPr>
                <w:rFonts w:cs="Times New Roman"/>
                <w:b/>
                <w:bCs/>
                <w:rtl/>
              </w:rPr>
            </w:pPr>
            <w:r w:rsidRPr="000E5AEB">
              <w:rPr>
                <w:rFonts w:cs="Times New Roman"/>
                <w:b/>
                <w:bCs/>
                <w:sz w:val="22"/>
                <w:szCs w:val="22"/>
                <w:rtl/>
              </w:rPr>
              <w:t>פרטים על השינוי/ים המבוקש/ים</w:t>
            </w:r>
            <w:r>
              <w:rPr>
                <w:rFonts w:cs="Times New Roman" w:hint="cs"/>
                <w:b/>
                <w:bCs/>
                <w:sz w:val="22"/>
                <w:szCs w:val="22"/>
                <w:rtl/>
              </w:rPr>
              <w:t xml:space="preserve"> - המשך</w:t>
            </w:r>
          </w:p>
        </w:tc>
      </w:tr>
      <w:tr w:rsidR="00B776E8" w:rsidRPr="000E5AEB" w:rsidTr="00430708">
        <w:trPr>
          <w:jc w:val="center"/>
        </w:trPr>
        <w:tc>
          <w:tcPr>
            <w:tcW w:w="1799" w:type="dxa"/>
            <w:tcBorders>
              <w:top w:val="single" w:sz="4" w:space="0" w:color="auto"/>
              <w:bottom w:val="single" w:sz="4" w:space="0" w:color="auto"/>
            </w:tcBorders>
          </w:tcPr>
          <w:p w:rsidR="00B776E8" w:rsidRPr="000E5AEB" w:rsidRDefault="00B776E8" w:rsidP="00430708">
            <w:pPr>
              <w:jc w:val="center"/>
              <w:rPr>
                <w:rFonts w:cs="Times New Roman"/>
                <w:b/>
                <w:bCs/>
              </w:rPr>
            </w:pPr>
            <w:r>
              <w:rPr>
                <w:rFonts w:cs="Times New Roman"/>
                <w:b/>
                <w:bCs/>
              </w:rPr>
              <w:t xml:space="preserve">5.1 </w:t>
            </w:r>
            <w:proofErr w:type="spellStart"/>
            <w:r>
              <w:rPr>
                <w:rFonts w:cs="Times New Roman"/>
                <w:b/>
                <w:bCs/>
              </w:rPr>
              <w:t>Pharmacodynamic</w:t>
            </w:r>
            <w:proofErr w:type="spellEnd"/>
            <w:r>
              <w:rPr>
                <w:rFonts w:cs="Times New Roman"/>
                <w:b/>
                <w:bCs/>
              </w:rPr>
              <w:t xml:space="preserve"> properties</w:t>
            </w:r>
          </w:p>
        </w:tc>
        <w:tc>
          <w:tcPr>
            <w:tcW w:w="4296" w:type="dxa"/>
            <w:tcBorders>
              <w:top w:val="single" w:sz="4" w:space="0" w:color="auto"/>
              <w:bottom w:val="single" w:sz="4" w:space="0" w:color="auto"/>
            </w:tcBorders>
          </w:tcPr>
          <w:p w:rsidR="00B776E8" w:rsidRPr="00CD40DE" w:rsidRDefault="00AE4E95" w:rsidP="00AE4E95">
            <w:pPr>
              <w:rPr>
                <w:rFonts w:cs="Times New Roman"/>
                <w:b/>
                <w:bCs/>
                <w:rtl/>
              </w:rPr>
            </w:pPr>
            <w:r>
              <w:rPr>
                <w:rFonts w:cs="Times New Roman" w:hint="cs"/>
                <w:b/>
                <w:bCs/>
                <w:rtl/>
              </w:rPr>
              <w:t>שינה מקום, הועבר מסעיף 4.2</w:t>
            </w:r>
          </w:p>
        </w:tc>
        <w:tc>
          <w:tcPr>
            <w:tcW w:w="4252" w:type="dxa"/>
            <w:tcBorders>
              <w:top w:val="single" w:sz="4" w:space="0" w:color="auto"/>
              <w:bottom w:val="single" w:sz="4" w:space="0" w:color="auto"/>
              <w:right w:val="single" w:sz="4" w:space="0" w:color="auto"/>
            </w:tcBorders>
          </w:tcPr>
          <w:p w:rsidR="00B776E8" w:rsidRPr="00B776E8" w:rsidRDefault="00B776E8" w:rsidP="00B776E8">
            <w:pPr>
              <w:bidi w:val="0"/>
              <w:rPr>
                <w:rFonts w:cs="Times New Roman"/>
                <w:szCs w:val="20"/>
                <w:highlight w:val="yellow"/>
                <w:u w:val="single"/>
                <w:lang w:val="en-GB" w:eastAsia="en-US" w:bidi="ar-SA"/>
              </w:rPr>
            </w:pPr>
            <w:r w:rsidRPr="00B776E8">
              <w:rPr>
                <w:rFonts w:cs="Times New Roman"/>
                <w:sz w:val="22"/>
                <w:szCs w:val="20"/>
                <w:highlight w:val="yellow"/>
                <w:u w:val="single"/>
                <w:lang w:val="en-GB" w:eastAsia="en-US" w:bidi="ar-SA"/>
              </w:rPr>
              <w:t>Paediatric population</w:t>
            </w:r>
          </w:p>
          <w:p w:rsidR="00B776E8" w:rsidRPr="00B776E8" w:rsidRDefault="00B776E8" w:rsidP="00B776E8">
            <w:pPr>
              <w:bidi w:val="0"/>
              <w:rPr>
                <w:rFonts w:cs="Times New Roman"/>
                <w:szCs w:val="20"/>
                <w:lang w:val="en-GB" w:eastAsia="en-US" w:bidi="ar-SA"/>
              </w:rPr>
            </w:pPr>
            <w:r w:rsidRPr="00B776E8">
              <w:rPr>
                <w:rFonts w:cs="Times New Roman"/>
                <w:sz w:val="22"/>
                <w:szCs w:val="20"/>
                <w:highlight w:val="yellow"/>
                <w:lang w:val="en-GB" w:eastAsia="en-US" w:bidi="ar-SA"/>
              </w:rPr>
              <w:t xml:space="preserve">The experience in children is limited. Of 7 patients </w:t>
            </w:r>
            <w:proofErr w:type="gramStart"/>
            <w:r w:rsidRPr="00B776E8">
              <w:rPr>
                <w:rFonts w:cs="Times New Roman"/>
                <w:sz w:val="22"/>
                <w:szCs w:val="20"/>
                <w:highlight w:val="yellow"/>
                <w:lang w:val="en-GB" w:eastAsia="en-US" w:bidi="ar-SA"/>
              </w:rPr>
              <w:t>under</w:t>
            </w:r>
            <w:proofErr w:type="gramEnd"/>
            <w:r w:rsidRPr="00B776E8">
              <w:rPr>
                <w:rFonts w:cs="Times New Roman"/>
                <w:sz w:val="22"/>
                <w:szCs w:val="20"/>
                <w:highlight w:val="yellow"/>
                <w:lang w:val="en-GB" w:eastAsia="en-US" w:bidi="ar-SA"/>
              </w:rPr>
              <w:t xml:space="preserve"> 18 years of age (range 5 to 16 years) treated with TRISENOX at the recommended dose of 0.15 mg/kg/day, 5 patients achieved a complete response (see section 4.2).</w:t>
            </w:r>
          </w:p>
          <w:p w:rsidR="00B776E8" w:rsidRPr="00B776E8" w:rsidRDefault="00B776E8" w:rsidP="00430708">
            <w:pPr>
              <w:jc w:val="center"/>
              <w:rPr>
                <w:rFonts w:cs="Times New Roman"/>
                <w:b/>
                <w:bCs/>
                <w:rtl/>
                <w:lang w:val="en-GB"/>
              </w:rPr>
            </w:pPr>
          </w:p>
        </w:tc>
      </w:tr>
      <w:tr w:rsidR="00B776E8" w:rsidRPr="006A4844" w:rsidTr="00430708">
        <w:trPr>
          <w:jc w:val="center"/>
        </w:trPr>
        <w:tc>
          <w:tcPr>
            <w:tcW w:w="1799" w:type="dxa"/>
            <w:tcBorders>
              <w:top w:val="single" w:sz="4" w:space="0" w:color="auto"/>
              <w:bottom w:val="single" w:sz="4" w:space="0" w:color="auto"/>
            </w:tcBorders>
          </w:tcPr>
          <w:p w:rsidR="00AE4E95" w:rsidRPr="00AE4E95" w:rsidRDefault="00AE4E95" w:rsidP="00AE4E95">
            <w:pPr>
              <w:tabs>
                <w:tab w:val="left" w:pos="567"/>
              </w:tabs>
              <w:bidi w:val="0"/>
              <w:rPr>
                <w:rFonts w:cs="Times New Roman"/>
                <w:szCs w:val="20"/>
                <w:lang w:val="en-GB" w:eastAsia="en-US" w:bidi="ar-SA"/>
              </w:rPr>
            </w:pPr>
          </w:p>
          <w:p w:rsidR="00AE4E95" w:rsidRPr="00AE4E95" w:rsidRDefault="00AE4E95" w:rsidP="00AE4E95">
            <w:pPr>
              <w:keepNext/>
              <w:numPr>
                <w:ilvl w:val="1"/>
                <w:numId w:val="0"/>
              </w:numPr>
              <w:tabs>
                <w:tab w:val="num" w:pos="576"/>
              </w:tabs>
              <w:bidi w:val="0"/>
              <w:ind w:left="576" w:hanging="576"/>
              <w:jc w:val="center"/>
              <w:outlineLvl w:val="1"/>
              <w:rPr>
                <w:rFonts w:eastAsiaTheme="minorHAnsi" w:cstheme="minorBidi"/>
                <w:b/>
                <w:lang w:val="en-GB" w:eastAsia="en-US"/>
              </w:rPr>
            </w:pPr>
            <w:r w:rsidRPr="00AE4E95">
              <w:rPr>
                <w:rFonts w:eastAsiaTheme="minorHAnsi" w:cstheme="minorBidi"/>
                <w:b/>
                <w:sz w:val="22"/>
                <w:szCs w:val="22"/>
                <w:lang w:val="en-GB" w:eastAsia="en-US"/>
              </w:rPr>
              <w:t>5.2 Pharmacokinetic properties</w:t>
            </w:r>
          </w:p>
          <w:p w:rsidR="00B776E8" w:rsidRPr="000E5AEB" w:rsidRDefault="00B776E8" w:rsidP="00430708">
            <w:pPr>
              <w:bidi w:val="0"/>
              <w:outlineLvl w:val="0"/>
              <w:rPr>
                <w:rFonts w:cs="Times New Roman"/>
                <w:b/>
                <w:bCs/>
              </w:rPr>
            </w:pPr>
          </w:p>
        </w:tc>
        <w:tc>
          <w:tcPr>
            <w:tcW w:w="4296" w:type="dxa"/>
            <w:tcBorders>
              <w:top w:val="single" w:sz="4" w:space="0" w:color="auto"/>
              <w:bottom w:val="single" w:sz="4" w:space="0" w:color="auto"/>
            </w:tcBorders>
          </w:tcPr>
          <w:p w:rsidR="000F3AC2" w:rsidRPr="00AE4E95" w:rsidRDefault="000F3AC2" w:rsidP="000F3AC2">
            <w:pPr>
              <w:tabs>
                <w:tab w:val="left" w:pos="567"/>
              </w:tabs>
              <w:bidi w:val="0"/>
              <w:rPr>
                <w:rFonts w:eastAsiaTheme="minorHAnsi" w:cstheme="minorBidi"/>
                <w:b/>
                <w:lang w:val="en-GB" w:eastAsia="en-US"/>
              </w:rPr>
            </w:pPr>
            <w:r w:rsidRPr="00AE4E95">
              <w:rPr>
                <w:rFonts w:cs="Times New Roman"/>
                <w:sz w:val="22"/>
                <w:szCs w:val="20"/>
                <w:lang w:val="en-GB" w:eastAsia="en-US" w:bidi="ar-SA"/>
              </w:rPr>
              <w:t xml:space="preserve">In vitro enzymatic studies with human liver </w:t>
            </w:r>
            <w:proofErr w:type="spellStart"/>
            <w:r w:rsidRPr="00AE4E95">
              <w:rPr>
                <w:rFonts w:cs="Times New Roman"/>
                <w:sz w:val="22"/>
                <w:szCs w:val="20"/>
                <w:lang w:val="en-GB" w:eastAsia="en-US" w:bidi="ar-SA"/>
              </w:rPr>
              <w:t>microsomes</w:t>
            </w:r>
            <w:proofErr w:type="spellEnd"/>
            <w:r w:rsidRPr="00AE4E95">
              <w:rPr>
                <w:rFonts w:cs="Times New Roman"/>
                <w:sz w:val="22"/>
                <w:szCs w:val="20"/>
                <w:lang w:val="en-GB" w:eastAsia="en-US" w:bidi="ar-SA"/>
              </w:rPr>
              <w:t xml:space="preserve"> revealed that arsenic trioxide has no inhibitory activity on substrates of the major cytochrome P450 enzymes such as 1A2, 2A6, 2B6, 2C8, 2C9, 2C19, 2D6, 2E1, 3A4/5, </w:t>
            </w:r>
            <w:proofErr w:type="gramStart"/>
            <w:r w:rsidRPr="00AE4E95">
              <w:rPr>
                <w:rFonts w:cs="Times New Roman"/>
                <w:sz w:val="22"/>
                <w:szCs w:val="20"/>
                <w:lang w:val="en-GB" w:eastAsia="en-US" w:bidi="ar-SA"/>
              </w:rPr>
              <w:t>4A9</w:t>
            </w:r>
            <w:proofErr w:type="gramEnd"/>
            <w:r w:rsidRPr="00AE4E95">
              <w:rPr>
                <w:rFonts w:cs="Times New Roman"/>
                <w:sz w:val="22"/>
                <w:szCs w:val="20"/>
                <w:lang w:val="en-GB" w:eastAsia="en-US" w:bidi="ar-SA"/>
              </w:rPr>
              <w:t xml:space="preserve">/11. </w:t>
            </w:r>
            <w:r w:rsidRPr="00AE4E95">
              <w:rPr>
                <w:rFonts w:eastAsiaTheme="minorHAnsi" w:cstheme="minorBidi"/>
                <w:sz w:val="22"/>
                <w:szCs w:val="22"/>
                <w:lang w:val="en-GB" w:eastAsia="en-US"/>
              </w:rPr>
              <w:t>Drugs that are substrates for these P450 enzymes are not expected to interact with TRISENOX.</w:t>
            </w:r>
          </w:p>
          <w:p w:rsidR="00AE4E95" w:rsidRPr="000F3AC2" w:rsidRDefault="00AE4E95" w:rsidP="00AE4E95">
            <w:pPr>
              <w:bidi w:val="0"/>
              <w:jc w:val="center"/>
              <w:rPr>
                <w:rFonts w:cs="Times New Roman"/>
                <w:b/>
                <w:bCs/>
                <w:lang w:val="en-GB"/>
              </w:rPr>
            </w:pPr>
          </w:p>
          <w:p w:rsidR="000F3AC2" w:rsidRPr="000F3AC2" w:rsidRDefault="000F3AC2" w:rsidP="000F3AC2">
            <w:pPr>
              <w:tabs>
                <w:tab w:val="left" w:pos="567"/>
              </w:tabs>
              <w:bidi w:val="0"/>
              <w:rPr>
                <w:rFonts w:cs="Times New Roman"/>
                <w:b/>
                <w:szCs w:val="20"/>
                <w:lang w:val="en-GB" w:bidi="ar-SA"/>
              </w:rPr>
            </w:pPr>
            <w:r w:rsidRPr="000F3AC2">
              <w:rPr>
                <w:rFonts w:cs="Times New Roman"/>
                <w:b/>
                <w:szCs w:val="20"/>
                <w:lang w:val="en-GB" w:bidi="ar-SA"/>
              </w:rPr>
              <w:t>Linearity/non-linearity:</w:t>
            </w:r>
          </w:p>
          <w:p w:rsidR="000F3AC2" w:rsidRPr="00560134" w:rsidRDefault="000F3AC2" w:rsidP="000F3AC2">
            <w:pPr>
              <w:tabs>
                <w:tab w:val="left" w:pos="567"/>
              </w:tabs>
              <w:bidi w:val="0"/>
              <w:rPr>
                <w:rFonts w:cs="Times New Roman"/>
                <w:szCs w:val="20"/>
                <w:lang w:val="en-GB" w:bidi="ar-SA"/>
              </w:rPr>
            </w:pPr>
            <w:r w:rsidRPr="000F3AC2">
              <w:rPr>
                <w:rFonts w:cs="Times New Roman"/>
                <w:szCs w:val="20"/>
                <w:lang w:val="en-GB" w:bidi="ar-SA"/>
              </w:rPr>
              <w:t xml:space="preserve">In the total single dose range of 7 to 32 mg (administered as 0.15 mg/kg), systemic exposure (AUC) appears to be linear.  The decline from peak plasma concentration of </w:t>
            </w:r>
            <w:proofErr w:type="spellStart"/>
            <w:r w:rsidRPr="000F3AC2">
              <w:rPr>
                <w:rFonts w:cs="Times New Roman"/>
                <w:szCs w:val="20"/>
                <w:lang w:val="en-GB" w:bidi="ar-SA"/>
              </w:rPr>
              <w:t>As</w:t>
            </w:r>
            <w:r w:rsidRPr="000F3AC2">
              <w:rPr>
                <w:rFonts w:cs="Times New Roman"/>
                <w:szCs w:val="20"/>
                <w:vertAlign w:val="superscript"/>
                <w:lang w:val="en-GB" w:bidi="ar-SA"/>
              </w:rPr>
              <w:t>III</w:t>
            </w:r>
            <w:proofErr w:type="spellEnd"/>
            <w:r w:rsidRPr="000F3AC2">
              <w:rPr>
                <w:rFonts w:cs="Times New Roman"/>
                <w:szCs w:val="20"/>
                <w:lang w:val="en-GB" w:bidi="ar-SA"/>
              </w:rPr>
              <w:t xml:space="preserve"> occurs in a biphasic manner and is characterized by an initial rapid distribution phase followed by a </w:t>
            </w:r>
            <w:r w:rsidRPr="000F3AC2">
              <w:rPr>
                <w:rFonts w:cs="Times New Roman"/>
                <w:szCs w:val="20"/>
                <w:lang w:val="en-GB" w:bidi="ar-SA"/>
              </w:rPr>
              <w:lastRenderedPageBreak/>
              <w:t xml:space="preserve">slower terminal elimination phase.  After administration at 0.15 mg/kg on a daily (n=6) or twice-weekly (n=3) regimen, an approximate 2-fold accumulation of </w:t>
            </w:r>
            <w:proofErr w:type="spellStart"/>
            <w:r w:rsidRPr="000F3AC2">
              <w:rPr>
                <w:rFonts w:cs="Times New Roman"/>
                <w:szCs w:val="20"/>
                <w:lang w:val="en-GB" w:bidi="ar-SA"/>
              </w:rPr>
              <w:t>As</w:t>
            </w:r>
            <w:r w:rsidRPr="000F3AC2">
              <w:rPr>
                <w:rFonts w:cs="Times New Roman"/>
                <w:szCs w:val="20"/>
                <w:vertAlign w:val="superscript"/>
                <w:lang w:val="en-GB" w:bidi="ar-SA"/>
              </w:rPr>
              <w:t>III</w:t>
            </w:r>
            <w:proofErr w:type="spellEnd"/>
            <w:r w:rsidRPr="000F3AC2">
              <w:rPr>
                <w:rFonts w:cs="Times New Roman"/>
                <w:szCs w:val="20"/>
                <w:lang w:val="en-GB" w:bidi="ar-SA"/>
              </w:rPr>
              <w:t xml:space="preserve"> was observed as compared to a single infusion. This accumulation was slightly more than expected based on single-dose results.</w:t>
            </w:r>
            <w:r w:rsidRPr="00560134">
              <w:rPr>
                <w:rFonts w:cs="Times New Roman"/>
                <w:szCs w:val="20"/>
                <w:lang w:val="en-GB" w:bidi="ar-SA"/>
              </w:rPr>
              <w:t xml:space="preserve"> </w:t>
            </w:r>
          </w:p>
          <w:p w:rsidR="00AE4E95" w:rsidRPr="000F3AC2" w:rsidRDefault="00AE4E95" w:rsidP="00AE4E95">
            <w:pPr>
              <w:bidi w:val="0"/>
              <w:jc w:val="center"/>
              <w:rPr>
                <w:rFonts w:cs="Times New Roman"/>
                <w:b/>
                <w:bCs/>
                <w:rtl/>
                <w:lang w:val="en-GB"/>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Default="00AE4E95" w:rsidP="00AE4E95">
            <w:pPr>
              <w:bidi w:val="0"/>
              <w:jc w:val="center"/>
              <w:rPr>
                <w:rFonts w:cs="Times New Roman"/>
                <w:b/>
                <w:bCs/>
                <w:rtl/>
              </w:rPr>
            </w:pPr>
          </w:p>
          <w:p w:rsidR="00AE4E95" w:rsidRPr="00AD2656" w:rsidRDefault="00AE4E95" w:rsidP="000F3AC2">
            <w:pPr>
              <w:bidi w:val="0"/>
              <w:jc w:val="center"/>
              <w:rPr>
                <w:rFonts w:cs="Times New Roman"/>
                <w:b/>
                <w:bCs/>
              </w:rPr>
            </w:pPr>
          </w:p>
        </w:tc>
        <w:tc>
          <w:tcPr>
            <w:tcW w:w="4252" w:type="dxa"/>
            <w:tcBorders>
              <w:top w:val="single" w:sz="4" w:space="0" w:color="auto"/>
              <w:bottom w:val="single" w:sz="4" w:space="0" w:color="auto"/>
              <w:right w:val="single" w:sz="4" w:space="0" w:color="auto"/>
            </w:tcBorders>
          </w:tcPr>
          <w:p w:rsidR="000F3AC2" w:rsidRDefault="000F3AC2" w:rsidP="000F3AC2">
            <w:pPr>
              <w:bidi w:val="0"/>
              <w:jc w:val="center"/>
              <w:rPr>
                <w:rFonts w:cs="Times New Roman"/>
                <w:b/>
                <w:bCs/>
              </w:rPr>
            </w:pPr>
            <w:r>
              <w:rPr>
                <w:rFonts w:cs="Times New Roman" w:hint="cs"/>
                <w:b/>
                <w:bCs/>
                <w:rtl/>
              </w:rPr>
              <w:lastRenderedPageBreak/>
              <w:t>שינוי מקום בתוך הסעיף</w:t>
            </w:r>
          </w:p>
          <w:p w:rsidR="00B776E8" w:rsidRDefault="00B776E8" w:rsidP="00430708">
            <w:pPr>
              <w:rPr>
                <w:rFonts w:cs="Times New Roman"/>
                <w:b/>
                <w:bCs/>
                <w:rtl/>
                <w:lang w:val="en-GB"/>
              </w:rPr>
            </w:pPr>
          </w:p>
          <w:p w:rsidR="00AE4E95" w:rsidRDefault="00AE4E95" w:rsidP="00430708">
            <w:pPr>
              <w:rPr>
                <w:rFonts w:cs="Times New Roman"/>
                <w:b/>
                <w:bCs/>
                <w:rtl/>
                <w:lang w:val="en-GB"/>
              </w:rPr>
            </w:pPr>
          </w:p>
          <w:p w:rsidR="00AE4E95" w:rsidRDefault="00AE4E95" w:rsidP="00430708">
            <w:pPr>
              <w:rPr>
                <w:rFonts w:cs="Times New Roman"/>
                <w:b/>
                <w:bCs/>
                <w:rtl/>
                <w:lang w:val="en-GB"/>
              </w:rPr>
            </w:pPr>
          </w:p>
          <w:p w:rsidR="00AE4E95" w:rsidRDefault="00AE4E95" w:rsidP="000F3AC2">
            <w:pPr>
              <w:tabs>
                <w:tab w:val="left" w:pos="567"/>
              </w:tabs>
              <w:bidi w:val="0"/>
              <w:rPr>
                <w:rFonts w:cs="Times New Roman"/>
                <w:b/>
                <w:bCs/>
                <w:lang w:val="en-GB"/>
              </w:rPr>
            </w:pPr>
          </w:p>
          <w:p w:rsidR="000F3AC2" w:rsidRDefault="000F3AC2" w:rsidP="000F3AC2">
            <w:pPr>
              <w:tabs>
                <w:tab w:val="left" w:pos="567"/>
              </w:tabs>
              <w:bidi w:val="0"/>
              <w:rPr>
                <w:rFonts w:cs="Times New Roman"/>
                <w:b/>
                <w:bCs/>
                <w:lang w:val="en-GB"/>
              </w:rPr>
            </w:pPr>
          </w:p>
          <w:p w:rsidR="000F3AC2" w:rsidRDefault="000F3AC2" w:rsidP="000F3AC2">
            <w:pPr>
              <w:tabs>
                <w:tab w:val="left" w:pos="567"/>
              </w:tabs>
              <w:bidi w:val="0"/>
              <w:rPr>
                <w:rFonts w:cs="Times New Roman"/>
                <w:b/>
                <w:bCs/>
                <w:lang w:val="en-GB"/>
              </w:rPr>
            </w:pPr>
          </w:p>
          <w:p w:rsidR="000F3AC2" w:rsidRDefault="000F3AC2" w:rsidP="000F3AC2">
            <w:pPr>
              <w:tabs>
                <w:tab w:val="left" w:pos="567"/>
              </w:tabs>
              <w:bidi w:val="0"/>
              <w:rPr>
                <w:rFonts w:cs="Times New Roman"/>
                <w:b/>
                <w:bCs/>
                <w:lang w:val="en-GB"/>
              </w:rPr>
            </w:pPr>
          </w:p>
          <w:p w:rsidR="000F3AC2" w:rsidRPr="00AE4E95" w:rsidRDefault="000F3AC2" w:rsidP="000F3AC2">
            <w:pPr>
              <w:tabs>
                <w:tab w:val="left" w:pos="567"/>
              </w:tabs>
              <w:bidi w:val="0"/>
              <w:jc w:val="center"/>
              <w:rPr>
                <w:rFonts w:cs="Times New Roman"/>
                <w:b/>
                <w:bCs/>
                <w:rtl/>
                <w:lang w:val="en-GB"/>
              </w:rPr>
            </w:pPr>
            <w:r>
              <w:rPr>
                <w:rFonts w:cs="Times New Roman" w:hint="cs"/>
                <w:b/>
                <w:bCs/>
                <w:rtl/>
              </w:rPr>
              <w:t>שינוי מקום בתוך הסעיף</w:t>
            </w:r>
          </w:p>
        </w:tc>
      </w:tr>
      <w:tr w:rsidR="00B776E8" w:rsidRPr="006A4844" w:rsidTr="00430708">
        <w:trPr>
          <w:jc w:val="center"/>
        </w:trPr>
        <w:tc>
          <w:tcPr>
            <w:tcW w:w="1799" w:type="dxa"/>
            <w:tcBorders>
              <w:top w:val="single" w:sz="4" w:space="0" w:color="auto"/>
              <w:bottom w:val="single" w:sz="4" w:space="0" w:color="auto"/>
            </w:tcBorders>
          </w:tcPr>
          <w:p w:rsidR="00B776E8" w:rsidRPr="000E5AEB" w:rsidRDefault="00B776E8" w:rsidP="00430708">
            <w:pPr>
              <w:bidi w:val="0"/>
              <w:outlineLvl w:val="0"/>
              <w:rPr>
                <w:rFonts w:cs="Times New Roman"/>
                <w:b/>
                <w:bCs/>
              </w:rPr>
            </w:pPr>
          </w:p>
        </w:tc>
        <w:tc>
          <w:tcPr>
            <w:tcW w:w="4296" w:type="dxa"/>
            <w:tcBorders>
              <w:top w:val="single" w:sz="4" w:space="0" w:color="auto"/>
              <w:bottom w:val="single" w:sz="4" w:space="0" w:color="auto"/>
            </w:tcBorders>
          </w:tcPr>
          <w:p w:rsidR="00B776E8" w:rsidRPr="000E5AEB" w:rsidRDefault="00B776E8" w:rsidP="00430708">
            <w:pPr>
              <w:bidi w:val="0"/>
              <w:rPr>
                <w:rFonts w:cs="Times New Roman"/>
                <w:b/>
                <w:bCs/>
                <w:rtl/>
              </w:rPr>
            </w:pPr>
          </w:p>
        </w:tc>
        <w:tc>
          <w:tcPr>
            <w:tcW w:w="4252" w:type="dxa"/>
            <w:tcBorders>
              <w:top w:val="single" w:sz="4" w:space="0" w:color="auto"/>
              <w:bottom w:val="single" w:sz="4" w:space="0" w:color="auto"/>
              <w:right w:val="single" w:sz="4" w:space="0" w:color="auto"/>
            </w:tcBorders>
          </w:tcPr>
          <w:p w:rsidR="00B776E8" w:rsidRPr="00FD66C2" w:rsidRDefault="00B776E8" w:rsidP="00430708">
            <w:pPr>
              <w:rPr>
                <w:rFonts w:cs="Times New Roman"/>
                <w:b/>
                <w:bCs/>
                <w:rtl/>
                <w:lang w:val="en-GB"/>
              </w:rPr>
            </w:pPr>
          </w:p>
        </w:tc>
      </w:tr>
    </w:tbl>
    <w:p w:rsidR="004576C5" w:rsidRPr="00B776E8" w:rsidRDefault="004576C5" w:rsidP="00FD66C2">
      <w:pPr>
        <w:rPr>
          <w:rFonts w:cs="Times New Roman"/>
          <w:b/>
          <w:bCs/>
          <w:sz w:val="22"/>
          <w:szCs w:val="22"/>
          <w:rtl/>
          <w:lang w:eastAsia="en-US"/>
        </w:rPr>
      </w:pPr>
    </w:p>
    <w:p w:rsidR="004576C5" w:rsidRDefault="004576C5" w:rsidP="00FD66C2">
      <w:pPr>
        <w:rPr>
          <w:rFonts w:cs="Times New Roman"/>
          <w:b/>
          <w:bCs/>
          <w:sz w:val="22"/>
          <w:szCs w:val="22"/>
          <w:rtl/>
          <w:lang w:eastAsia="en-US"/>
        </w:rPr>
      </w:pPr>
    </w:p>
    <w:p w:rsidR="004576C5" w:rsidRDefault="004576C5" w:rsidP="00FD66C2">
      <w:pPr>
        <w:rPr>
          <w:rFonts w:cs="Times New Roman"/>
          <w:b/>
          <w:bCs/>
          <w:sz w:val="22"/>
          <w:szCs w:val="22"/>
          <w:rtl/>
          <w:lang w:eastAsia="en-US"/>
        </w:rPr>
      </w:pPr>
    </w:p>
    <w:p w:rsidR="00FD66C2" w:rsidRDefault="00FD66C2" w:rsidP="00FD66C2">
      <w:pPr>
        <w:rPr>
          <w:rFonts w:cs="Times New Roman"/>
          <w:b/>
          <w:bCs/>
          <w:sz w:val="22"/>
          <w:szCs w:val="22"/>
          <w:rtl/>
          <w:lang w:eastAsia="en-US"/>
        </w:rPr>
      </w:pPr>
    </w:p>
    <w:p w:rsidR="00B776E8" w:rsidRDefault="00B776E8" w:rsidP="00FD66C2">
      <w:pPr>
        <w:rPr>
          <w:rFonts w:cs="Times New Roman"/>
          <w:b/>
          <w:bCs/>
          <w:sz w:val="22"/>
          <w:szCs w:val="22"/>
          <w:rtl/>
          <w:lang w:eastAsia="en-US"/>
        </w:rPr>
      </w:pPr>
    </w:p>
    <w:p w:rsidR="00B776E8" w:rsidRPr="00FD66C2" w:rsidRDefault="00B776E8" w:rsidP="00FD66C2">
      <w:pPr>
        <w:rPr>
          <w:rFonts w:cs="Times New Roman"/>
          <w:b/>
          <w:bCs/>
          <w:sz w:val="22"/>
          <w:szCs w:val="22"/>
          <w:rtl/>
          <w:lang w:eastAsia="en-US"/>
        </w:rPr>
      </w:pPr>
    </w:p>
    <w:sectPr w:rsidR="00B776E8" w:rsidRPr="00FD66C2" w:rsidSect="009D198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020EF"/>
    <w:multiLevelType w:val="hybridMultilevel"/>
    <w:tmpl w:val="7010CB2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153"/>
    <w:rsid w:val="000075C0"/>
    <w:rsid w:val="00010E0A"/>
    <w:rsid w:val="00012703"/>
    <w:rsid w:val="00026ED4"/>
    <w:rsid w:val="00032104"/>
    <w:rsid w:val="0005477C"/>
    <w:rsid w:val="000817B5"/>
    <w:rsid w:val="000A3806"/>
    <w:rsid w:val="000C0257"/>
    <w:rsid w:val="000C3BB7"/>
    <w:rsid w:val="000F3AC2"/>
    <w:rsid w:val="00115FB4"/>
    <w:rsid w:val="0012315E"/>
    <w:rsid w:val="0013376D"/>
    <w:rsid w:val="00151352"/>
    <w:rsid w:val="001B49CB"/>
    <w:rsid w:val="002605C4"/>
    <w:rsid w:val="002606C1"/>
    <w:rsid w:val="00310872"/>
    <w:rsid w:val="003271FD"/>
    <w:rsid w:val="00387CA1"/>
    <w:rsid w:val="003F4608"/>
    <w:rsid w:val="004458A9"/>
    <w:rsid w:val="004576C5"/>
    <w:rsid w:val="00486017"/>
    <w:rsid w:val="0049617B"/>
    <w:rsid w:val="004A2205"/>
    <w:rsid w:val="004B541A"/>
    <w:rsid w:val="004E45B7"/>
    <w:rsid w:val="00503091"/>
    <w:rsid w:val="00543BE7"/>
    <w:rsid w:val="0059473F"/>
    <w:rsid w:val="005B1CA2"/>
    <w:rsid w:val="005D1A5D"/>
    <w:rsid w:val="00617954"/>
    <w:rsid w:val="00675304"/>
    <w:rsid w:val="006A4844"/>
    <w:rsid w:val="006D00E4"/>
    <w:rsid w:val="006D0DCD"/>
    <w:rsid w:val="006F7BD1"/>
    <w:rsid w:val="00783859"/>
    <w:rsid w:val="007E6194"/>
    <w:rsid w:val="007E7153"/>
    <w:rsid w:val="007F4121"/>
    <w:rsid w:val="0081427F"/>
    <w:rsid w:val="0085133A"/>
    <w:rsid w:val="008A3DB4"/>
    <w:rsid w:val="008C30AE"/>
    <w:rsid w:val="008F08CB"/>
    <w:rsid w:val="008F53E8"/>
    <w:rsid w:val="009040D7"/>
    <w:rsid w:val="009415E5"/>
    <w:rsid w:val="00944AF5"/>
    <w:rsid w:val="00946BCE"/>
    <w:rsid w:val="00960459"/>
    <w:rsid w:val="009A0F25"/>
    <w:rsid w:val="009A5975"/>
    <w:rsid w:val="009D1980"/>
    <w:rsid w:val="00A42431"/>
    <w:rsid w:val="00A44C70"/>
    <w:rsid w:val="00A555AE"/>
    <w:rsid w:val="00A72CC3"/>
    <w:rsid w:val="00A93512"/>
    <w:rsid w:val="00AC1719"/>
    <w:rsid w:val="00AC7897"/>
    <w:rsid w:val="00AD09C7"/>
    <w:rsid w:val="00AD2656"/>
    <w:rsid w:val="00AE1978"/>
    <w:rsid w:val="00AE4E95"/>
    <w:rsid w:val="00B11375"/>
    <w:rsid w:val="00B250B7"/>
    <w:rsid w:val="00B335E2"/>
    <w:rsid w:val="00B470B0"/>
    <w:rsid w:val="00B7213F"/>
    <w:rsid w:val="00B776E8"/>
    <w:rsid w:val="00B8475E"/>
    <w:rsid w:val="00B87E0E"/>
    <w:rsid w:val="00BB659F"/>
    <w:rsid w:val="00BC21CC"/>
    <w:rsid w:val="00BD560D"/>
    <w:rsid w:val="00BE4E25"/>
    <w:rsid w:val="00BF2991"/>
    <w:rsid w:val="00C6132E"/>
    <w:rsid w:val="00C97934"/>
    <w:rsid w:val="00CA5BEB"/>
    <w:rsid w:val="00CB7E96"/>
    <w:rsid w:val="00CD40DE"/>
    <w:rsid w:val="00DE0A74"/>
    <w:rsid w:val="00EA6FC5"/>
    <w:rsid w:val="00EB324D"/>
    <w:rsid w:val="00EB5895"/>
    <w:rsid w:val="00EF10B2"/>
    <w:rsid w:val="00F03735"/>
    <w:rsid w:val="00F24F90"/>
    <w:rsid w:val="00F94758"/>
    <w:rsid w:val="00FA34B0"/>
    <w:rsid w:val="00FC277F"/>
    <w:rsid w:val="00FD66C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52"/>
    <w:pPr>
      <w:bidi/>
      <w:spacing w:after="0" w:line="240" w:lineRule="auto"/>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51352"/>
    <w:pPr>
      <w:keepNext/>
      <w:jc w:val="center"/>
      <w:outlineLvl w:val="0"/>
    </w:pPr>
    <w:rPr>
      <w:rFonts w:cs="Courier New"/>
      <w:b/>
      <w:bCs/>
      <w:sz w:val="20"/>
      <w:szCs w:val="36"/>
      <w:u w:val="single"/>
      <w:lang w:eastAsia="en-US"/>
    </w:rPr>
  </w:style>
  <w:style w:type="paragraph" w:styleId="Heading2">
    <w:name w:val="heading 2"/>
    <w:basedOn w:val="Normal"/>
    <w:next w:val="Normal"/>
    <w:link w:val="Heading2Char"/>
    <w:uiPriority w:val="9"/>
    <w:semiHidden/>
    <w:unhideWhenUsed/>
    <w:qFormat/>
    <w:rsid w:val="00EB3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352"/>
    <w:rPr>
      <w:rFonts w:ascii="Times New Roman" w:eastAsia="Times New Roman" w:hAnsi="Times New Roman" w:cs="Courier New"/>
      <w:b/>
      <w:bCs/>
      <w:sz w:val="20"/>
      <w:szCs w:val="36"/>
      <w:u w:val="single"/>
    </w:rPr>
  </w:style>
  <w:style w:type="character" w:customStyle="1" w:styleId="Heading2Char">
    <w:name w:val="Heading 2 Char"/>
    <w:basedOn w:val="DefaultParagraphFont"/>
    <w:link w:val="Heading2"/>
    <w:uiPriority w:val="9"/>
    <w:semiHidden/>
    <w:rsid w:val="00EB324D"/>
    <w:rPr>
      <w:rFonts w:asciiTheme="majorHAnsi" w:eastAsiaTheme="majorEastAsia" w:hAnsiTheme="majorHAnsi" w:cstheme="majorBidi"/>
      <w:b/>
      <w:bCs/>
      <w:color w:val="4F81BD" w:themeColor="accent1"/>
      <w:sz w:val="26"/>
      <w:szCs w:val="26"/>
      <w:lang w:eastAsia="he-IL"/>
    </w:rPr>
  </w:style>
  <w:style w:type="table" w:styleId="TableGrid">
    <w:name w:val="Table Grid"/>
    <w:basedOn w:val="TableNormal"/>
    <w:uiPriority w:val="59"/>
    <w:rsid w:val="0038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7B"/>
    <w:rPr>
      <w:rFonts w:ascii="Tahoma" w:hAnsi="Tahoma" w:cs="Tahoma"/>
      <w:sz w:val="16"/>
      <w:szCs w:val="16"/>
    </w:rPr>
  </w:style>
  <w:style w:type="character" w:customStyle="1" w:styleId="BalloonTextChar">
    <w:name w:val="Balloon Text Char"/>
    <w:basedOn w:val="DefaultParagraphFont"/>
    <w:link w:val="BalloonText"/>
    <w:uiPriority w:val="99"/>
    <w:semiHidden/>
    <w:rsid w:val="0049617B"/>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52"/>
    <w:pPr>
      <w:bidi/>
      <w:spacing w:after="0" w:line="240" w:lineRule="auto"/>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51352"/>
    <w:pPr>
      <w:keepNext/>
      <w:jc w:val="center"/>
      <w:outlineLvl w:val="0"/>
    </w:pPr>
    <w:rPr>
      <w:rFonts w:cs="Courier New"/>
      <w:b/>
      <w:bCs/>
      <w:sz w:val="20"/>
      <w:szCs w:val="36"/>
      <w:u w:val="single"/>
      <w:lang w:eastAsia="en-US"/>
    </w:rPr>
  </w:style>
  <w:style w:type="paragraph" w:styleId="Heading2">
    <w:name w:val="heading 2"/>
    <w:basedOn w:val="Normal"/>
    <w:next w:val="Normal"/>
    <w:link w:val="Heading2Char"/>
    <w:uiPriority w:val="9"/>
    <w:semiHidden/>
    <w:unhideWhenUsed/>
    <w:qFormat/>
    <w:rsid w:val="00EB3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352"/>
    <w:rPr>
      <w:rFonts w:ascii="Times New Roman" w:eastAsia="Times New Roman" w:hAnsi="Times New Roman" w:cs="Courier New"/>
      <w:b/>
      <w:bCs/>
      <w:sz w:val="20"/>
      <w:szCs w:val="36"/>
      <w:u w:val="single"/>
    </w:rPr>
  </w:style>
  <w:style w:type="character" w:customStyle="1" w:styleId="Heading2Char">
    <w:name w:val="Heading 2 Char"/>
    <w:basedOn w:val="DefaultParagraphFont"/>
    <w:link w:val="Heading2"/>
    <w:uiPriority w:val="9"/>
    <w:semiHidden/>
    <w:rsid w:val="00EB324D"/>
    <w:rPr>
      <w:rFonts w:asciiTheme="majorHAnsi" w:eastAsiaTheme="majorEastAsia" w:hAnsiTheme="majorHAnsi" w:cstheme="majorBidi"/>
      <w:b/>
      <w:bCs/>
      <w:color w:val="4F81BD" w:themeColor="accent1"/>
      <w:sz w:val="26"/>
      <w:szCs w:val="26"/>
      <w:lang w:eastAsia="he-IL"/>
    </w:rPr>
  </w:style>
  <w:style w:type="table" w:styleId="TableGrid">
    <w:name w:val="Table Grid"/>
    <w:basedOn w:val="TableNormal"/>
    <w:uiPriority w:val="59"/>
    <w:rsid w:val="0038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7B"/>
    <w:rPr>
      <w:rFonts w:ascii="Tahoma" w:hAnsi="Tahoma" w:cs="Tahoma"/>
      <w:sz w:val="16"/>
      <w:szCs w:val="16"/>
    </w:rPr>
  </w:style>
  <w:style w:type="character" w:customStyle="1" w:styleId="BalloonTextChar">
    <w:name w:val="Balloon Text Char"/>
    <w:basedOn w:val="DefaultParagraphFont"/>
    <w:link w:val="BalloonText"/>
    <w:uiPriority w:val="99"/>
    <w:semiHidden/>
    <w:rsid w:val="0049617B"/>
    <w:rPr>
      <w:rFonts w:ascii="Tahoma" w:eastAsia="Times New Roman"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ustomXml" Target="../customXml/item1.xml"/><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43f5c83f-d7ad-4276-a107-8019a824ecd5">165386716</AutoNumber>
    <REQUESTNUMBER xmlns="43f5c83f-d7ad-4276-a107-8019a824ecd5">80671</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75600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החמרות בעלון לרופא _04.2013</UCOMMENTS>
    <OWNER xmlns="43f5c83f-d7ad-4276-a107-8019a824ecd5">844</OWNER>
    <ISPUBLIC xmlns="43f5c83f-d7ad-4276-a107-8019a824ecd5">1</ISPUBLIC>
    <SDHebDate xmlns="43f5c83f-d7ad-4276-a107-8019a824ecd5">י"ד באייר, התשע"ג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291</SAPNAME>
    <SDDocumentSource xmlns="43f5c83f-d7ad-4276-a107-8019a824ecd5" xsi:nil="true"/>
    <SDImportance xmlns="43f5c83f-d7ad-4276-a107-8019a824ecd5" xsi:nil="true"/>
    <REGISTRATIONNUMBER xmlns="43f5c83f-d7ad-4276-a107-8019a824ecd5">3178700</REGISTRATIONNUMBER>
    <SDCategories xmlns="43f5c83f-d7ad-4276-a107-8019a824ecd5" xsi:nil="true"/>
    <SDDocDate xmlns="43f5c83f-d7ad-4276-a107-8019a824ecd5">2013-04-24T05:00:01+00:00</SDDocDate>
    <DRAGOBJID xmlns="43f5c83f-d7ad-4276-a107-8019a824ecd5">3178700</DRAGOBJID>
    <mossuploaddate xmlns="43f5c83f-d7ad-4276-a107-8019a824ecd5">2013-04-24 10:47:23</mossuploaddate>
    <SDExternalEntityConnected xmlns="43f5c83f-d7ad-4276-a107-8019a824ecd5" xsi:nil="true"/>
  </documentManagement>
</p:properties>
</file>

<file path=customXml/itemProps1.xml><?xml version="1.0" encoding="utf-8"?>
<ds:datastoreItem xmlns:ds="http://schemas.openxmlformats.org/officeDocument/2006/customXml" ds:itemID="{58C74D2E-7F3C-4126-9D74-D065F8CD20F8}"/>
</file>

<file path=customXml/itemProps2.xml><?xml version="1.0" encoding="utf-8"?>
<ds:datastoreItem xmlns:ds="http://schemas.openxmlformats.org/officeDocument/2006/customXml" ds:itemID="{0C0C07DA-E1E0-427B-8BBA-AB87A86775E8}"/>
</file>

<file path=customXml/itemProps3.xml><?xml version="1.0" encoding="utf-8"?>
<ds:datastoreItem xmlns:ds="http://schemas.openxmlformats.org/officeDocument/2006/customXml" ds:itemID="{8E4D17B1-0A3B-4881-9D83-EEEA974042CC}"/>
</file>

<file path=docProps/app.xml><?xml version="1.0" encoding="utf-8"?>
<Properties xmlns="http://schemas.openxmlformats.org/officeDocument/2006/extended-properties" xmlns:vt="http://schemas.openxmlformats.org/officeDocument/2006/docPropsVTypes">
  <Template>Normal.dotm</Template>
  <TotalTime>428</TotalTime>
  <Pages>13</Pages>
  <Words>3525</Words>
  <Characters>17625</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Trisenox_31787_worsenings</dc:title>
  <dc:creator>Smadar Baram</dc:creator>
  <cp:lastModifiedBy>haya</cp:lastModifiedBy>
  <cp:revision>85</cp:revision>
  <cp:lastPrinted>2012-12-17T13:08:00Z</cp:lastPrinted>
  <dcterms:created xsi:type="dcterms:W3CDTF">2012-09-19T11:08:00Z</dcterms:created>
  <dcterms:modified xsi:type="dcterms:W3CDTF">2012-12-17T13:08:00Z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